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51" w:rsidRPr="00082948" w:rsidRDefault="00637051" w:rsidP="00637051">
      <w:pPr>
        <w:tabs>
          <w:tab w:val="left" w:pos="-270"/>
        </w:tabs>
        <w:jc w:val="both"/>
        <w:rPr>
          <w:rFonts w:ascii="Arial" w:hAnsi="Arial" w:cs="Arial"/>
          <w:b/>
          <w:sz w:val="28"/>
          <w:szCs w:val="28"/>
        </w:rPr>
      </w:pPr>
      <w:r w:rsidRPr="00082948">
        <w:rPr>
          <w:rFonts w:ascii="Arial" w:hAnsi="Arial" w:cs="Arial"/>
          <w:b/>
          <w:noProof/>
          <w:snapToGrid/>
          <w:sz w:val="28"/>
          <w:szCs w:val="28"/>
        </w:rPr>
        <w:drawing>
          <wp:anchor distT="0" distB="0" distL="114300" distR="114300" simplePos="0" relativeHeight="251658240" behindDoc="0" locked="0" layoutInCell="1" allowOverlap="1">
            <wp:simplePos x="0" y="0"/>
            <wp:positionH relativeFrom="column">
              <wp:posOffset>-219075</wp:posOffset>
            </wp:positionH>
            <wp:positionV relativeFrom="paragraph">
              <wp:posOffset>-9525</wp:posOffset>
            </wp:positionV>
            <wp:extent cx="1571625" cy="550545"/>
            <wp:effectExtent l="0" t="0" r="9525" b="1905"/>
            <wp:wrapSquare wrapText="bothSides"/>
            <wp:docPr id="6" name="Picture 6" descr="C:\Users\jkarmazyn\Desktop\Documents\D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karmazyn\Desktop\Documents\DAQ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550545"/>
                    </a:xfrm>
                    <a:prstGeom prst="rect">
                      <a:avLst/>
                    </a:prstGeom>
                    <a:noFill/>
                    <a:ln>
                      <a:noFill/>
                    </a:ln>
                  </pic:spPr>
                </pic:pic>
              </a:graphicData>
            </a:graphic>
          </wp:anchor>
        </w:drawing>
      </w:r>
      <w:r w:rsidRPr="00082948">
        <w:rPr>
          <w:rFonts w:ascii="Arial" w:hAnsi="Arial" w:cs="Arial"/>
          <w:b/>
          <w:sz w:val="28"/>
          <w:szCs w:val="28"/>
        </w:rPr>
        <w:t>Wood Smoke Reduction Incentive Program</w:t>
      </w:r>
    </w:p>
    <w:p w:rsidR="00637051" w:rsidRPr="00082948" w:rsidRDefault="00637051" w:rsidP="00637051">
      <w:pPr>
        <w:tabs>
          <w:tab w:val="left" w:pos="-270"/>
        </w:tabs>
        <w:jc w:val="both"/>
        <w:rPr>
          <w:rFonts w:ascii="Arial" w:hAnsi="Arial" w:cs="Arial"/>
          <w:b/>
          <w:sz w:val="28"/>
          <w:szCs w:val="28"/>
        </w:rPr>
      </w:pPr>
      <w:r w:rsidRPr="00082948">
        <w:rPr>
          <w:rFonts w:ascii="Arial" w:hAnsi="Arial" w:cs="Arial"/>
          <w:b/>
          <w:sz w:val="28"/>
          <w:szCs w:val="28"/>
        </w:rPr>
        <w:t xml:space="preserve">Utah Division of Air Quality </w:t>
      </w:r>
    </w:p>
    <w:p w:rsidR="00261517" w:rsidRPr="00082948" w:rsidRDefault="00152204" w:rsidP="00637051">
      <w:pPr>
        <w:rPr>
          <w:rFonts w:ascii="Arial" w:hAnsi="Arial" w:cs="Arial"/>
          <w:b/>
          <w:sz w:val="28"/>
          <w:szCs w:val="28"/>
        </w:rPr>
      </w:pPr>
      <w:r w:rsidRPr="00082948">
        <w:rPr>
          <w:rFonts w:ascii="Arial" w:hAnsi="Arial" w:cs="Arial"/>
          <w:b/>
          <w:sz w:val="28"/>
          <w:szCs w:val="28"/>
        </w:rPr>
        <w:t>VENDOR AGREEMENT</w:t>
      </w:r>
    </w:p>
    <w:p w:rsidR="00152204" w:rsidRPr="00082948" w:rsidRDefault="00152204" w:rsidP="00637051">
      <w:pPr>
        <w:rPr>
          <w:rFonts w:ascii="Arial" w:hAnsi="Arial" w:cs="Arial"/>
        </w:rPr>
      </w:pPr>
    </w:p>
    <w:p w:rsidR="00E579BF" w:rsidRPr="00082948" w:rsidRDefault="00E579BF" w:rsidP="00E579BF">
      <w:pPr>
        <w:pStyle w:val="Heading1"/>
        <w:rPr>
          <w:color w:val="auto"/>
        </w:rPr>
      </w:pPr>
      <w:proofErr w:type="gramStart"/>
      <w:r w:rsidRPr="00082948">
        <w:rPr>
          <w:color w:val="auto"/>
        </w:rPr>
        <w:t>Section 1.</w:t>
      </w:r>
      <w:proofErr w:type="gramEnd"/>
      <w:r w:rsidRPr="00082948">
        <w:rPr>
          <w:color w:val="auto"/>
        </w:rPr>
        <w:t xml:space="preserve"> Introduction</w:t>
      </w:r>
    </w:p>
    <w:p w:rsidR="00E579BF" w:rsidRPr="00082948" w:rsidRDefault="00E579BF" w:rsidP="00637051">
      <w:pPr>
        <w:rPr>
          <w:rFonts w:ascii="Arial" w:hAnsi="Arial" w:cs="Arial"/>
          <w:szCs w:val="24"/>
        </w:rPr>
      </w:pPr>
    </w:p>
    <w:p w:rsidR="00082948" w:rsidRDefault="00637051" w:rsidP="00637051">
      <w:pPr>
        <w:rPr>
          <w:rFonts w:ascii="Arial" w:hAnsi="Arial" w:cs="Arial"/>
        </w:rPr>
      </w:pPr>
      <w:r w:rsidRPr="00082948">
        <w:rPr>
          <w:rFonts w:ascii="Arial" w:hAnsi="Arial" w:cs="Arial"/>
          <w:szCs w:val="24"/>
        </w:rPr>
        <w:t xml:space="preserve">The Utah Division of Air Quality (DAQ), through a </w:t>
      </w:r>
      <w:r w:rsidR="00A03BBB" w:rsidRPr="00A03BBB">
        <w:rPr>
          <w:rFonts w:ascii="Arial" w:hAnsi="Arial" w:cs="Arial"/>
          <w:szCs w:val="24"/>
        </w:rPr>
        <w:t xml:space="preserve">targeted </w:t>
      </w:r>
      <w:proofErr w:type="spellStart"/>
      <w:r w:rsidR="00A03BBB" w:rsidRPr="00A03BBB">
        <w:rPr>
          <w:rFonts w:ascii="Arial" w:hAnsi="Arial" w:cs="Arial"/>
          <w:szCs w:val="24"/>
        </w:rPr>
        <w:t>airshed</w:t>
      </w:r>
      <w:proofErr w:type="spellEnd"/>
      <w:r w:rsidR="00A03BBB" w:rsidRPr="00A03BBB">
        <w:rPr>
          <w:rFonts w:ascii="Arial" w:hAnsi="Arial" w:cs="Arial"/>
          <w:szCs w:val="24"/>
        </w:rPr>
        <w:t xml:space="preserve"> </w:t>
      </w:r>
      <w:r w:rsidRPr="00082948">
        <w:rPr>
          <w:rFonts w:ascii="Arial" w:hAnsi="Arial" w:cs="Arial"/>
          <w:szCs w:val="24"/>
        </w:rPr>
        <w:t>grant from the U.S. Environmental Protection Agency, has developed a financial incentive program for homeowners to change-out old stoves for new EPA</w:t>
      </w:r>
      <w:r w:rsidR="0024531B" w:rsidRPr="00082948">
        <w:rPr>
          <w:rFonts w:ascii="Arial" w:hAnsi="Arial" w:cs="Arial"/>
          <w:szCs w:val="24"/>
        </w:rPr>
        <w:t>-</w:t>
      </w:r>
      <w:r w:rsidRPr="00082948">
        <w:rPr>
          <w:rFonts w:ascii="Arial" w:hAnsi="Arial" w:cs="Arial"/>
          <w:szCs w:val="24"/>
        </w:rPr>
        <w:t>certified stoves or gas stoves. The program also includes a bounty program for homeowners who wish to turn in their wood stove</w:t>
      </w:r>
      <w:r w:rsidR="0024531B" w:rsidRPr="00082948">
        <w:rPr>
          <w:rFonts w:ascii="Arial" w:hAnsi="Arial" w:cs="Arial"/>
          <w:szCs w:val="24"/>
        </w:rPr>
        <w:t>s</w:t>
      </w:r>
      <w:r w:rsidRPr="00082948">
        <w:rPr>
          <w:rFonts w:ascii="Arial" w:hAnsi="Arial" w:cs="Arial"/>
          <w:szCs w:val="24"/>
        </w:rPr>
        <w:t xml:space="preserve"> for </w:t>
      </w:r>
      <w:r w:rsidR="00935185" w:rsidRPr="00082948">
        <w:rPr>
          <w:rFonts w:ascii="Arial" w:hAnsi="Arial" w:cs="Arial"/>
          <w:szCs w:val="24"/>
        </w:rPr>
        <w:t xml:space="preserve">scrap metal </w:t>
      </w:r>
      <w:r w:rsidRPr="00082948">
        <w:rPr>
          <w:rFonts w:ascii="Arial" w:hAnsi="Arial" w:cs="Arial"/>
          <w:szCs w:val="24"/>
        </w:rPr>
        <w:t xml:space="preserve">recycling. The program </w:t>
      </w:r>
      <w:r w:rsidR="00212948" w:rsidRPr="00082948">
        <w:rPr>
          <w:rFonts w:ascii="Arial" w:hAnsi="Arial" w:cs="Arial"/>
          <w:szCs w:val="24"/>
        </w:rPr>
        <w:t xml:space="preserve">is </w:t>
      </w:r>
      <w:r w:rsidR="00175511" w:rsidRPr="00082948">
        <w:rPr>
          <w:rFonts w:ascii="Arial" w:hAnsi="Arial" w:cs="Arial"/>
          <w:szCs w:val="24"/>
        </w:rPr>
        <w:t>limited</w:t>
      </w:r>
      <w:r w:rsidR="00212948" w:rsidRPr="00082948">
        <w:rPr>
          <w:rFonts w:ascii="Arial" w:hAnsi="Arial" w:cs="Arial"/>
          <w:szCs w:val="24"/>
        </w:rPr>
        <w:t xml:space="preserve"> to </w:t>
      </w:r>
      <w:r w:rsidR="006A77F4" w:rsidRPr="00082948">
        <w:rPr>
          <w:rFonts w:ascii="Arial" w:hAnsi="Arial" w:cs="Arial"/>
          <w:szCs w:val="24"/>
        </w:rPr>
        <w:t xml:space="preserve">portions of </w:t>
      </w:r>
      <w:r w:rsidRPr="00082948">
        <w:rPr>
          <w:rFonts w:ascii="Arial" w:hAnsi="Arial" w:cs="Arial"/>
        </w:rPr>
        <w:t>Box Elder, Cache, Davis, Salt Lake, Tooele, Utah and Weber counties</w:t>
      </w:r>
      <w:r w:rsidR="006A77F4" w:rsidRPr="00082948">
        <w:rPr>
          <w:rFonts w:ascii="Arial" w:hAnsi="Arial" w:cs="Arial"/>
        </w:rPr>
        <w:t xml:space="preserve"> that fail to meet the national fine particulate standard during winter-time inversion</w:t>
      </w:r>
      <w:r w:rsidRPr="00082948">
        <w:rPr>
          <w:rFonts w:ascii="Arial" w:hAnsi="Arial" w:cs="Arial"/>
        </w:rPr>
        <w:t xml:space="preserve">. We anticipate </w:t>
      </w:r>
      <w:r w:rsidR="0018782B" w:rsidRPr="00082948">
        <w:rPr>
          <w:rFonts w:ascii="Arial" w:hAnsi="Arial" w:cs="Arial"/>
        </w:rPr>
        <w:t xml:space="preserve">program </w:t>
      </w:r>
      <w:r w:rsidRPr="00082948">
        <w:rPr>
          <w:rFonts w:ascii="Arial" w:hAnsi="Arial" w:cs="Arial"/>
        </w:rPr>
        <w:t xml:space="preserve">kick-off by </w:t>
      </w:r>
      <w:r w:rsidR="00A03BBB">
        <w:rPr>
          <w:rFonts w:ascii="Arial" w:hAnsi="Arial" w:cs="Arial"/>
        </w:rPr>
        <w:t xml:space="preserve">announcing the </w:t>
      </w:r>
      <w:r w:rsidRPr="00082948">
        <w:rPr>
          <w:rFonts w:ascii="Arial" w:hAnsi="Arial" w:cs="Arial"/>
        </w:rPr>
        <w:t>accept</w:t>
      </w:r>
      <w:r w:rsidR="00A03BBB">
        <w:rPr>
          <w:rFonts w:ascii="Arial" w:hAnsi="Arial" w:cs="Arial"/>
        </w:rPr>
        <w:t>ance of</w:t>
      </w:r>
      <w:r w:rsidRPr="00082948">
        <w:rPr>
          <w:rFonts w:ascii="Arial" w:hAnsi="Arial" w:cs="Arial"/>
        </w:rPr>
        <w:t xml:space="preserve"> homeowner applications in the Fall of 2018. </w:t>
      </w:r>
    </w:p>
    <w:p w:rsidR="00082948" w:rsidRDefault="00082948" w:rsidP="00637051">
      <w:pPr>
        <w:rPr>
          <w:rFonts w:ascii="Arial" w:hAnsi="Arial" w:cs="Arial"/>
        </w:rPr>
      </w:pPr>
    </w:p>
    <w:p w:rsidR="00082948" w:rsidRDefault="00082948" w:rsidP="00637051">
      <w:pPr>
        <w:rPr>
          <w:rFonts w:ascii="Arial" w:hAnsi="Arial" w:cs="Arial"/>
        </w:rPr>
      </w:pPr>
      <w:r>
        <w:rPr>
          <w:rFonts w:ascii="Arial" w:hAnsi="Arial" w:cs="Arial"/>
        </w:rPr>
        <w:t xml:space="preserve">Available funding: </w:t>
      </w:r>
    </w:p>
    <w:p w:rsidR="00082948" w:rsidRDefault="00082948" w:rsidP="00082948">
      <w:pPr>
        <w:pStyle w:val="ListParagraph"/>
        <w:numPr>
          <w:ilvl w:val="0"/>
          <w:numId w:val="5"/>
        </w:numPr>
        <w:rPr>
          <w:rFonts w:ascii="Arial" w:hAnsi="Arial" w:cs="Arial"/>
        </w:rPr>
      </w:pPr>
      <w:r>
        <w:rPr>
          <w:rFonts w:ascii="Arial" w:hAnsi="Arial" w:cs="Arial"/>
        </w:rPr>
        <w:t>Cache County-$2.5 million</w:t>
      </w:r>
    </w:p>
    <w:p w:rsidR="00082948" w:rsidRDefault="00082948" w:rsidP="00082948">
      <w:pPr>
        <w:pStyle w:val="ListParagraph"/>
        <w:numPr>
          <w:ilvl w:val="0"/>
          <w:numId w:val="5"/>
        </w:numPr>
        <w:rPr>
          <w:rFonts w:ascii="Arial" w:hAnsi="Arial" w:cs="Arial"/>
        </w:rPr>
      </w:pPr>
      <w:r>
        <w:rPr>
          <w:rFonts w:ascii="Arial" w:hAnsi="Arial" w:cs="Arial"/>
        </w:rPr>
        <w:t>Utah County-$2.4 million</w:t>
      </w:r>
    </w:p>
    <w:p w:rsidR="00082948" w:rsidRPr="00082948" w:rsidRDefault="00082948" w:rsidP="00082948">
      <w:pPr>
        <w:pStyle w:val="ListParagraph"/>
        <w:numPr>
          <w:ilvl w:val="0"/>
          <w:numId w:val="5"/>
        </w:numPr>
        <w:rPr>
          <w:rFonts w:ascii="Arial" w:hAnsi="Arial" w:cs="Arial"/>
        </w:rPr>
      </w:pPr>
      <w:r>
        <w:rPr>
          <w:rFonts w:ascii="Arial" w:hAnsi="Arial" w:cs="Arial"/>
        </w:rPr>
        <w:t>Box Elder, Davis, Salt Lake, Tooele and Weber counties-$2.5 million</w:t>
      </w:r>
    </w:p>
    <w:p w:rsidR="00082948" w:rsidRDefault="00082948" w:rsidP="00637051">
      <w:pPr>
        <w:rPr>
          <w:rFonts w:ascii="Arial" w:hAnsi="Arial" w:cs="Arial"/>
        </w:rPr>
      </w:pPr>
    </w:p>
    <w:p w:rsidR="00637051" w:rsidRPr="00082948" w:rsidRDefault="00637051" w:rsidP="00637051">
      <w:pPr>
        <w:rPr>
          <w:rFonts w:ascii="Arial" w:hAnsi="Arial" w:cs="Arial"/>
          <w:szCs w:val="24"/>
        </w:rPr>
      </w:pPr>
      <w:r w:rsidRPr="00082948">
        <w:rPr>
          <w:rFonts w:ascii="Arial" w:hAnsi="Arial" w:cs="Arial"/>
        </w:rPr>
        <w:t>The program will proceed until all the funds are exhausted</w:t>
      </w:r>
      <w:r w:rsidR="00082948">
        <w:rPr>
          <w:rFonts w:ascii="Arial" w:hAnsi="Arial" w:cs="Arial"/>
        </w:rPr>
        <w:t xml:space="preserve"> within a five year period</w:t>
      </w:r>
      <w:r w:rsidRPr="00082948">
        <w:rPr>
          <w:rFonts w:ascii="Arial" w:hAnsi="Arial" w:cs="Arial"/>
        </w:rPr>
        <w:t xml:space="preserve">.  </w:t>
      </w:r>
    </w:p>
    <w:p w:rsidR="00637051" w:rsidRDefault="00637051" w:rsidP="00637051">
      <w:pPr>
        <w:rPr>
          <w:rFonts w:ascii="Arial" w:hAnsi="Arial" w:cs="Arial"/>
          <w:szCs w:val="24"/>
        </w:rPr>
      </w:pPr>
    </w:p>
    <w:p w:rsidR="0018782B" w:rsidRPr="00082948" w:rsidRDefault="0018782B" w:rsidP="006A77F4">
      <w:pPr>
        <w:jc w:val="center"/>
        <w:rPr>
          <w:rFonts w:ascii="Arial" w:hAnsi="Arial" w:cs="Arial"/>
          <w:szCs w:val="24"/>
          <w:u w:val="single"/>
        </w:rPr>
      </w:pPr>
      <w:r w:rsidRPr="00082948">
        <w:rPr>
          <w:rFonts w:ascii="Arial" w:hAnsi="Arial" w:cs="Arial"/>
          <w:szCs w:val="24"/>
          <w:u w:val="single"/>
        </w:rPr>
        <w:t>Homeowner Financial Incentive Program</w:t>
      </w:r>
    </w:p>
    <w:p w:rsidR="0018782B" w:rsidRPr="00082948" w:rsidRDefault="0018782B" w:rsidP="0018782B">
      <w:pPr>
        <w:widowControl/>
        <w:ind w:left="420"/>
        <w:rPr>
          <w:rFonts w:ascii="Arial" w:hAnsi="Arial" w:cs="Arial"/>
          <w:szCs w:val="24"/>
        </w:rPr>
      </w:pPr>
    </w:p>
    <w:tbl>
      <w:tblPr>
        <w:tblStyle w:val="LightGrid1"/>
        <w:tblW w:w="8912" w:type="dxa"/>
        <w:jc w:val="center"/>
        <w:tblLayout w:type="fixed"/>
        <w:tblLook w:val="0400"/>
      </w:tblPr>
      <w:tblGrid>
        <w:gridCol w:w="828"/>
        <w:gridCol w:w="4237"/>
        <w:gridCol w:w="1793"/>
        <w:gridCol w:w="2054"/>
      </w:tblGrid>
      <w:tr w:rsidR="00082948" w:rsidRPr="00082948" w:rsidTr="00E579BF">
        <w:trPr>
          <w:cnfStyle w:val="000000100000"/>
          <w:trHeight w:val="340"/>
          <w:jc w:val="center"/>
        </w:trPr>
        <w:tc>
          <w:tcPr>
            <w:tcW w:w="8912" w:type="dxa"/>
            <w:gridSpan w:val="4"/>
            <w:shd w:val="clear" w:color="auto" w:fill="auto"/>
            <w:vAlign w:val="center"/>
          </w:tcPr>
          <w:p w:rsidR="0018782B" w:rsidRPr="00082948" w:rsidRDefault="0018782B" w:rsidP="00E579BF">
            <w:pPr>
              <w:spacing w:line="276" w:lineRule="auto"/>
              <w:jc w:val="center"/>
              <w:rPr>
                <w:rFonts w:ascii="Arial" w:hAnsi="Arial" w:cs="Arial"/>
                <w:b/>
                <w:sz w:val="24"/>
                <w:szCs w:val="24"/>
              </w:rPr>
            </w:pPr>
            <w:r w:rsidRPr="00082948">
              <w:rPr>
                <w:rFonts w:ascii="Arial" w:hAnsi="Arial" w:cs="Arial"/>
                <w:b/>
                <w:sz w:val="24"/>
                <w:szCs w:val="24"/>
              </w:rPr>
              <w:t>Homeowner Rebate Program</w:t>
            </w:r>
          </w:p>
        </w:tc>
      </w:tr>
      <w:tr w:rsidR="00082948" w:rsidRPr="00082948" w:rsidTr="00E579BF">
        <w:trPr>
          <w:cnfStyle w:val="000000010000"/>
          <w:trHeight w:val="340"/>
          <w:jc w:val="center"/>
        </w:trPr>
        <w:tc>
          <w:tcPr>
            <w:tcW w:w="828" w:type="dxa"/>
            <w:vMerge w:val="restart"/>
            <w:shd w:val="clear" w:color="auto" w:fill="D9D9D9" w:themeFill="background1" w:themeFillShade="D9"/>
            <w:vAlign w:val="center"/>
          </w:tcPr>
          <w:p w:rsidR="0018782B" w:rsidRPr="00082948" w:rsidRDefault="0018782B" w:rsidP="00E579BF">
            <w:pPr>
              <w:spacing w:line="276" w:lineRule="auto"/>
              <w:jc w:val="center"/>
              <w:rPr>
                <w:rFonts w:ascii="Arial" w:hAnsi="Arial" w:cs="Arial"/>
                <w:b/>
                <w:sz w:val="20"/>
              </w:rPr>
            </w:pPr>
            <w:r w:rsidRPr="00082948">
              <w:rPr>
                <w:rFonts w:ascii="Arial" w:hAnsi="Arial" w:cs="Arial"/>
                <w:b/>
                <w:sz w:val="20"/>
              </w:rPr>
              <w:t>Tier</w:t>
            </w:r>
          </w:p>
        </w:tc>
        <w:tc>
          <w:tcPr>
            <w:tcW w:w="4237" w:type="dxa"/>
            <w:vMerge w:val="restart"/>
            <w:shd w:val="clear" w:color="auto" w:fill="D9D9D9" w:themeFill="background1" w:themeFillShade="D9"/>
            <w:vAlign w:val="center"/>
          </w:tcPr>
          <w:p w:rsidR="0018782B" w:rsidRPr="00082948" w:rsidRDefault="0018782B" w:rsidP="00E579BF">
            <w:pPr>
              <w:spacing w:line="276" w:lineRule="auto"/>
              <w:rPr>
                <w:rFonts w:ascii="Arial" w:hAnsi="Arial" w:cs="Arial"/>
                <w:b/>
                <w:sz w:val="20"/>
              </w:rPr>
            </w:pPr>
            <w:r w:rsidRPr="00082948">
              <w:rPr>
                <w:rFonts w:ascii="Arial" w:hAnsi="Arial" w:cs="Arial"/>
                <w:b/>
                <w:sz w:val="20"/>
              </w:rPr>
              <w:t>Device Change-out</w:t>
            </w:r>
          </w:p>
        </w:tc>
        <w:tc>
          <w:tcPr>
            <w:tcW w:w="3847" w:type="dxa"/>
            <w:gridSpan w:val="2"/>
            <w:shd w:val="clear" w:color="auto" w:fill="D9D9D9" w:themeFill="background1" w:themeFillShade="D9"/>
            <w:vAlign w:val="center"/>
          </w:tcPr>
          <w:p w:rsidR="0018782B" w:rsidRPr="00082948" w:rsidRDefault="0018782B" w:rsidP="00E579BF">
            <w:pPr>
              <w:spacing w:line="276" w:lineRule="auto"/>
              <w:jc w:val="center"/>
              <w:rPr>
                <w:rFonts w:ascii="Arial" w:hAnsi="Arial" w:cs="Arial"/>
                <w:b/>
                <w:sz w:val="20"/>
              </w:rPr>
            </w:pPr>
            <w:r w:rsidRPr="00082948">
              <w:rPr>
                <w:rFonts w:ascii="Arial" w:hAnsi="Arial" w:cs="Arial"/>
                <w:b/>
                <w:sz w:val="20"/>
              </w:rPr>
              <w:t xml:space="preserve">Rebate Amount </w:t>
            </w:r>
          </w:p>
        </w:tc>
      </w:tr>
      <w:tr w:rsidR="00082948" w:rsidRPr="00082948" w:rsidTr="00E579BF">
        <w:trPr>
          <w:cnfStyle w:val="000000100000"/>
          <w:trHeight w:val="340"/>
          <w:jc w:val="center"/>
        </w:trPr>
        <w:tc>
          <w:tcPr>
            <w:tcW w:w="828" w:type="dxa"/>
            <w:vMerge/>
            <w:shd w:val="clear" w:color="auto" w:fill="D9D9D9" w:themeFill="background1" w:themeFillShade="D9"/>
            <w:vAlign w:val="center"/>
          </w:tcPr>
          <w:p w:rsidR="0018782B" w:rsidRPr="00082948" w:rsidRDefault="0018782B" w:rsidP="00E579BF">
            <w:pPr>
              <w:spacing w:line="276" w:lineRule="auto"/>
              <w:jc w:val="center"/>
              <w:rPr>
                <w:rFonts w:ascii="Arial" w:hAnsi="Arial" w:cs="Arial"/>
                <w:sz w:val="20"/>
              </w:rPr>
            </w:pPr>
          </w:p>
        </w:tc>
        <w:tc>
          <w:tcPr>
            <w:tcW w:w="4237" w:type="dxa"/>
            <w:vMerge/>
            <w:shd w:val="clear" w:color="auto" w:fill="D9D9D9" w:themeFill="background1" w:themeFillShade="D9"/>
            <w:vAlign w:val="center"/>
          </w:tcPr>
          <w:p w:rsidR="0018782B" w:rsidRPr="00082948" w:rsidRDefault="0018782B" w:rsidP="00E579BF">
            <w:pPr>
              <w:spacing w:line="276" w:lineRule="auto"/>
              <w:rPr>
                <w:rFonts w:ascii="Arial" w:hAnsi="Arial" w:cs="Arial"/>
                <w:b/>
                <w:sz w:val="20"/>
              </w:rPr>
            </w:pPr>
          </w:p>
        </w:tc>
        <w:tc>
          <w:tcPr>
            <w:tcW w:w="1793" w:type="dxa"/>
            <w:shd w:val="clear" w:color="auto" w:fill="D9D9D9" w:themeFill="background1" w:themeFillShade="D9"/>
            <w:vAlign w:val="center"/>
          </w:tcPr>
          <w:p w:rsidR="0018782B" w:rsidRPr="00082948" w:rsidRDefault="0018782B" w:rsidP="00E579BF">
            <w:pPr>
              <w:spacing w:line="276" w:lineRule="auto"/>
              <w:jc w:val="center"/>
              <w:rPr>
                <w:rFonts w:ascii="Arial" w:hAnsi="Arial" w:cs="Arial"/>
                <w:sz w:val="20"/>
              </w:rPr>
            </w:pPr>
            <w:r w:rsidRPr="00082948">
              <w:rPr>
                <w:rFonts w:ascii="Arial" w:hAnsi="Arial" w:cs="Arial"/>
                <w:b/>
                <w:bCs/>
                <w:sz w:val="20"/>
              </w:rPr>
              <w:t>Low-income households</w:t>
            </w:r>
          </w:p>
        </w:tc>
        <w:tc>
          <w:tcPr>
            <w:tcW w:w="2054" w:type="dxa"/>
            <w:shd w:val="clear" w:color="auto" w:fill="D9D9D9" w:themeFill="background1" w:themeFillShade="D9"/>
            <w:vAlign w:val="center"/>
          </w:tcPr>
          <w:p w:rsidR="0018782B" w:rsidRPr="00082948" w:rsidRDefault="0018782B" w:rsidP="00E579BF">
            <w:pPr>
              <w:spacing w:line="276" w:lineRule="auto"/>
              <w:jc w:val="center"/>
              <w:rPr>
                <w:rFonts w:ascii="Arial" w:hAnsi="Arial" w:cs="Arial"/>
                <w:sz w:val="20"/>
              </w:rPr>
            </w:pPr>
            <w:r w:rsidRPr="00082948">
              <w:rPr>
                <w:rFonts w:ascii="Arial" w:hAnsi="Arial" w:cs="Arial"/>
                <w:b/>
                <w:bCs/>
                <w:sz w:val="20"/>
              </w:rPr>
              <w:t>Non low-income households</w:t>
            </w:r>
          </w:p>
        </w:tc>
      </w:tr>
      <w:tr w:rsidR="00082948" w:rsidRPr="00082948" w:rsidTr="00E579BF">
        <w:trPr>
          <w:cnfStyle w:val="000000010000"/>
          <w:trHeight w:val="340"/>
          <w:jc w:val="center"/>
        </w:trPr>
        <w:tc>
          <w:tcPr>
            <w:tcW w:w="828" w:type="dxa"/>
            <w:shd w:val="clear" w:color="auto" w:fill="auto"/>
            <w:vAlign w:val="center"/>
          </w:tcPr>
          <w:p w:rsidR="0018782B" w:rsidRPr="00082948" w:rsidRDefault="0018782B" w:rsidP="00E579BF">
            <w:pPr>
              <w:spacing w:line="276" w:lineRule="auto"/>
              <w:jc w:val="center"/>
              <w:rPr>
                <w:rFonts w:ascii="Arial" w:hAnsi="Arial" w:cs="Arial"/>
                <w:b/>
                <w:sz w:val="20"/>
              </w:rPr>
            </w:pPr>
            <w:r w:rsidRPr="00082948">
              <w:rPr>
                <w:rFonts w:ascii="Arial" w:hAnsi="Arial" w:cs="Arial"/>
                <w:sz w:val="20"/>
              </w:rPr>
              <w:t>1</w:t>
            </w:r>
          </w:p>
        </w:tc>
        <w:tc>
          <w:tcPr>
            <w:tcW w:w="4237" w:type="dxa"/>
            <w:shd w:val="clear" w:color="auto" w:fill="auto"/>
            <w:vAlign w:val="center"/>
          </w:tcPr>
          <w:p w:rsidR="0018782B" w:rsidRPr="00082948" w:rsidRDefault="0018782B" w:rsidP="00E579BF">
            <w:pPr>
              <w:spacing w:line="276" w:lineRule="auto"/>
              <w:rPr>
                <w:rFonts w:ascii="Arial" w:hAnsi="Arial" w:cs="Arial"/>
                <w:sz w:val="20"/>
              </w:rPr>
            </w:pPr>
            <w:r w:rsidRPr="00082948">
              <w:rPr>
                <w:rFonts w:ascii="Arial" w:hAnsi="Arial" w:cs="Arial"/>
                <w:sz w:val="20"/>
              </w:rPr>
              <w:t>Any operational wood stove/insert or open fireplace to natural gas- or propane-fueled stove/insert</w:t>
            </w:r>
          </w:p>
        </w:tc>
        <w:tc>
          <w:tcPr>
            <w:tcW w:w="1793" w:type="dxa"/>
            <w:shd w:val="clear" w:color="auto" w:fill="auto"/>
            <w:vAlign w:val="center"/>
          </w:tcPr>
          <w:p w:rsidR="0018782B" w:rsidRPr="00082948" w:rsidRDefault="0018782B" w:rsidP="006A77F4">
            <w:pPr>
              <w:spacing w:line="276" w:lineRule="auto"/>
              <w:jc w:val="center"/>
              <w:rPr>
                <w:rFonts w:ascii="Arial" w:hAnsi="Arial" w:cs="Arial"/>
                <w:b/>
                <w:bCs/>
                <w:sz w:val="20"/>
              </w:rPr>
            </w:pPr>
            <w:r w:rsidRPr="00082948">
              <w:rPr>
                <w:rFonts w:ascii="Arial" w:hAnsi="Arial" w:cs="Arial"/>
                <w:sz w:val="20"/>
              </w:rPr>
              <w:t>$3,</w:t>
            </w:r>
            <w:r w:rsidR="006A77F4" w:rsidRPr="00082948">
              <w:rPr>
                <w:rFonts w:ascii="Arial" w:hAnsi="Arial" w:cs="Arial"/>
                <w:sz w:val="20"/>
              </w:rPr>
              <w:t>8</w:t>
            </w:r>
            <w:r w:rsidRPr="00082948">
              <w:rPr>
                <w:rFonts w:ascii="Arial" w:hAnsi="Arial" w:cs="Arial"/>
                <w:sz w:val="20"/>
              </w:rPr>
              <w:t>00</w:t>
            </w:r>
          </w:p>
        </w:tc>
        <w:tc>
          <w:tcPr>
            <w:tcW w:w="2054" w:type="dxa"/>
            <w:shd w:val="clear" w:color="auto" w:fill="auto"/>
            <w:vAlign w:val="center"/>
          </w:tcPr>
          <w:p w:rsidR="0018782B" w:rsidRPr="00082948" w:rsidRDefault="0018782B" w:rsidP="006A77F4">
            <w:pPr>
              <w:spacing w:line="276" w:lineRule="auto"/>
              <w:jc w:val="center"/>
              <w:rPr>
                <w:rFonts w:ascii="Arial" w:hAnsi="Arial" w:cs="Arial"/>
                <w:b/>
                <w:bCs/>
                <w:sz w:val="20"/>
              </w:rPr>
            </w:pPr>
            <w:r w:rsidRPr="00082948">
              <w:rPr>
                <w:rFonts w:ascii="Arial" w:hAnsi="Arial" w:cs="Arial"/>
                <w:sz w:val="20"/>
              </w:rPr>
              <w:t>$2,</w:t>
            </w:r>
            <w:r w:rsidR="006A77F4" w:rsidRPr="00082948">
              <w:rPr>
                <w:rFonts w:ascii="Arial" w:hAnsi="Arial" w:cs="Arial"/>
                <w:sz w:val="20"/>
              </w:rPr>
              <w:t>8</w:t>
            </w:r>
            <w:r w:rsidRPr="00082948">
              <w:rPr>
                <w:rFonts w:ascii="Arial" w:hAnsi="Arial" w:cs="Arial"/>
                <w:sz w:val="20"/>
              </w:rPr>
              <w:t>00</w:t>
            </w:r>
          </w:p>
        </w:tc>
      </w:tr>
      <w:tr w:rsidR="00082948" w:rsidRPr="00082948" w:rsidTr="00E579BF">
        <w:trPr>
          <w:cnfStyle w:val="000000100000"/>
          <w:trHeight w:val="340"/>
          <w:jc w:val="center"/>
        </w:trPr>
        <w:tc>
          <w:tcPr>
            <w:tcW w:w="828" w:type="dxa"/>
            <w:shd w:val="clear" w:color="auto" w:fill="D9D9D9" w:themeFill="background1" w:themeFillShade="D9"/>
            <w:vAlign w:val="center"/>
          </w:tcPr>
          <w:p w:rsidR="0018782B" w:rsidRPr="00082948" w:rsidRDefault="0018782B" w:rsidP="00E579BF">
            <w:pPr>
              <w:spacing w:line="276" w:lineRule="auto"/>
              <w:jc w:val="center"/>
              <w:rPr>
                <w:rFonts w:ascii="Arial" w:hAnsi="Arial" w:cs="Arial"/>
                <w:b/>
                <w:sz w:val="20"/>
              </w:rPr>
            </w:pPr>
            <w:r w:rsidRPr="00082948">
              <w:rPr>
                <w:rFonts w:ascii="Arial" w:hAnsi="Arial" w:cs="Arial"/>
                <w:sz w:val="20"/>
              </w:rPr>
              <w:t>2</w:t>
            </w:r>
          </w:p>
        </w:tc>
        <w:tc>
          <w:tcPr>
            <w:tcW w:w="4237" w:type="dxa"/>
            <w:shd w:val="clear" w:color="auto" w:fill="D9D9D9" w:themeFill="background1" w:themeFillShade="D9"/>
            <w:vAlign w:val="center"/>
          </w:tcPr>
          <w:p w:rsidR="0018782B" w:rsidRPr="00082948" w:rsidRDefault="0018782B" w:rsidP="006A77F4">
            <w:pPr>
              <w:spacing w:line="276" w:lineRule="auto"/>
              <w:rPr>
                <w:rFonts w:ascii="Arial" w:hAnsi="Arial" w:cs="Arial"/>
                <w:sz w:val="20"/>
              </w:rPr>
            </w:pPr>
            <w:r w:rsidRPr="00082948">
              <w:rPr>
                <w:rFonts w:ascii="Arial" w:hAnsi="Arial" w:cs="Arial"/>
                <w:sz w:val="20"/>
              </w:rPr>
              <w:t>Operational uncertified wood stove/insert to EPA-certified wood stove/insert</w:t>
            </w:r>
          </w:p>
        </w:tc>
        <w:tc>
          <w:tcPr>
            <w:tcW w:w="1793" w:type="dxa"/>
            <w:shd w:val="clear" w:color="auto" w:fill="D9D9D9" w:themeFill="background1" w:themeFillShade="D9"/>
            <w:vAlign w:val="center"/>
          </w:tcPr>
          <w:p w:rsidR="0018782B" w:rsidRPr="00082948" w:rsidRDefault="0018782B" w:rsidP="006A77F4">
            <w:pPr>
              <w:spacing w:line="276" w:lineRule="auto"/>
              <w:jc w:val="center"/>
              <w:rPr>
                <w:rFonts w:ascii="Arial" w:hAnsi="Arial" w:cs="Arial"/>
                <w:b/>
                <w:bCs/>
                <w:sz w:val="20"/>
              </w:rPr>
            </w:pPr>
            <w:r w:rsidRPr="00082948">
              <w:rPr>
                <w:rFonts w:ascii="Arial" w:hAnsi="Arial" w:cs="Arial"/>
                <w:sz w:val="20"/>
              </w:rPr>
              <w:t>$</w:t>
            </w:r>
            <w:r w:rsidR="006A77F4" w:rsidRPr="00082948">
              <w:rPr>
                <w:rFonts w:ascii="Arial" w:hAnsi="Arial" w:cs="Arial"/>
                <w:sz w:val="20"/>
              </w:rPr>
              <w:t>500</w:t>
            </w:r>
          </w:p>
        </w:tc>
        <w:tc>
          <w:tcPr>
            <w:tcW w:w="2054" w:type="dxa"/>
            <w:shd w:val="clear" w:color="auto" w:fill="D9D9D9" w:themeFill="background1" w:themeFillShade="D9"/>
            <w:vAlign w:val="center"/>
          </w:tcPr>
          <w:p w:rsidR="0018782B" w:rsidRPr="00082948" w:rsidRDefault="0018782B" w:rsidP="006A77F4">
            <w:pPr>
              <w:spacing w:line="276" w:lineRule="auto"/>
              <w:jc w:val="center"/>
              <w:rPr>
                <w:rFonts w:ascii="Arial" w:hAnsi="Arial" w:cs="Arial"/>
                <w:b/>
                <w:bCs/>
                <w:sz w:val="20"/>
              </w:rPr>
            </w:pPr>
            <w:r w:rsidRPr="00082948">
              <w:rPr>
                <w:rFonts w:ascii="Arial" w:hAnsi="Arial" w:cs="Arial"/>
                <w:sz w:val="20"/>
              </w:rPr>
              <w:t>$</w:t>
            </w:r>
            <w:r w:rsidR="006A77F4" w:rsidRPr="00082948">
              <w:rPr>
                <w:rFonts w:ascii="Arial" w:hAnsi="Arial" w:cs="Arial"/>
                <w:sz w:val="20"/>
              </w:rPr>
              <w:t>500</w:t>
            </w:r>
          </w:p>
        </w:tc>
      </w:tr>
      <w:tr w:rsidR="00082948" w:rsidRPr="00082948" w:rsidTr="00E579BF">
        <w:trPr>
          <w:cnfStyle w:val="000000010000"/>
          <w:trHeight w:val="340"/>
          <w:jc w:val="center"/>
        </w:trPr>
        <w:tc>
          <w:tcPr>
            <w:tcW w:w="828" w:type="dxa"/>
            <w:shd w:val="clear" w:color="auto" w:fill="auto"/>
            <w:vAlign w:val="center"/>
          </w:tcPr>
          <w:p w:rsidR="0018782B" w:rsidRPr="00082948" w:rsidRDefault="0018782B" w:rsidP="00E579BF">
            <w:pPr>
              <w:spacing w:line="276" w:lineRule="auto"/>
              <w:jc w:val="center"/>
              <w:rPr>
                <w:rFonts w:ascii="Arial" w:hAnsi="Arial" w:cs="Arial"/>
                <w:b/>
                <w:sz w:val="20"/>
              </w:rPr>
            </w:pPr>
            <w:r w:rsidRPr="00082948">
              <w:rPr>
                <w:rFonts w:ascii="Arial" w:hAnsi="Arial" w:cs="Arial"/>
                <w:sz w:val="20"/>
              </w:rPr>
              <w:t>3</w:t>
            </w:r>
          </w:p>
        </w:tc>
        <w:tc>
          <w:tcPr>
            <w:tcW w:w="4237" w:type="dxa"/>
            <w:shd w:val="clear" w:color="auto" w:fill="auto"/>
            <w:vAlign w:val="bottom"/>
          </w:tcPr>
          <w:p w:rsidR="0018782B" w:rsidRPr="00082948" w:rsidRDefault="0018782B" w:rsidP="00E579BF">
            <w:pPr>
              <w:spacing w:line="276" w:lineRule="auto"/>
              <w:rPr>
                <w:rFonts w:ascii="Arial" w:hAnsi="Arial" w:cs="Arial"/>
                <w:sz w:val="20"/>
              </w:rPr>
            </w:pPr>
            <w:r w:rsidRPr="00082948">
              <w:rPr>
                <w:rFonts w:ascii="Arial" w:hAnsi="Arial" w:cs="Arial"/>
                <w:sz w:val="20"/>
              </w:rPr>
              <w:t>Bounty for destroying of an operational  wood stove or insert</w:t>
            </w:r>
          </w:p>
        </w:tc>
        <w:tc>
          <w:tcPr>
            <w:tcW w:w="3847" w:type="dxa"/>
            <w:gridSpan w:val="2"/>
            <w:shd w:val="clear" w:color="auto" w:fill="auto"/>
            <w:vAlign w:val="bottom"/>
          </w:tcPr>
          <w:p w:rsidR="0018782B" w:rsidRPr="00082948" w:rsidRDefault="0018782B" w:rsidP="00E579BF">
            <w:pPr>
              <w:spacing w:line="276" w:lineRule="auto"/>
              <w:jc w:val="center"/>
              <w:rPr>
                <w:rFonts w:ascii="Arial" w:hAnsi="Arial" w:cs="Arial"/>
                <w:sz w:val="20"/>
              </w:rPr>
            </w:pPr>
            <w:r w:rsidRPr="00082948">
              <w:rPr>
                <w:rFonts w:ascii="Arial" w:hAnsi="Arial" w:cs="Arial"/>
                <w:sz w:val="20"/>
              </w:rPr>
              <w:t>$250</w:t>
            </w:r>
          </w:p>
        </w:tc>
      </w:tr>
    </w:tbl>
    <w:p w:rsidR="0018782B" w:rsidRPr="00082948" w:rsidRDefault="0018782B" w:rsidP="0018782B">
      <w:pPr>
        <w:rPr>
          <w:rFonts w:ascii="Arial" w:hAnsi="Arial" w:cs="Arial"/>
          <w:szCs w:val="24"/>
          <w:u w:val="single"/>
        </w:rPr>
      </w:pPr>
    </w:p>
    <w:p w:rsidR="0018782B" w:rsidRPr="00082948" w:rsidRDefault="0018782B" w:rsidP="0018782B">
      <w:pPr>
        <w:rPr>
          <w:rFonts w:ascii="Arial" w:hAnsi="Arial" w:cs="Arial"/>
          <w:b/>
          <w:szCs w:val="24"/>
        </w:rPr>
      </w:pPr>
      <w:r w:rsidRPr="00082948">
        <w:rPr>
          <w:rFonts w:ascii="Arial" w:hAnsi="Arial" w:cs="Arial"/>
          <w:b/>
          <w:szCs w:val="24"/>
        </w:rPr>
        <w:t>The rebate awards for Tiers 1 and 2 may not exceed the cost of a new device.</w:t>
      </w:r>
    </w:p>
    <w:p w:rsidR="0018782B" w:rsidRPr="00082948" w:rsidRDefault="0018782B" w:rsidP="0018782B">
      <w:pPr>
        <w:rPr>
          <w:rFonts w:ascii="Arial" w:hAnsi="Arial" w:cs="Arial"/>
          <w:b/>
          <w:szCs w:val="24"/>
        </w:rPr>
      </w:pPr>
    </w:p>
    <w:p w:rsidR="0018782B" w:rsidRDefault="0018782B" w:rsidP="0018782B">
      <w:pPr>
        <w:rPr>
          <w:rFonts w:ascii="Arial" w:hAnsi="Arial" w:cs="Arial"/>
          <w:b/>
          <w:szCs w:val="24"/>
        </w:rPr>
      </w:pPr>
      <w:r w:rsidRPr="00082948">
        <w:rPr>
          <w:rFonts w:ascii="Arial" w:hAnsi="Arial" w:cs="Arial"/>
          <w:b/>
          <w:szCs w:val="24"/>
        </w:rPr>
        <w:t xml:space="preserve">Fireplace retrofits under Tier 1 must be of a design that would </w:t>
      </w:r>
      <w:r w:rsidR="00E579BF" w:rsidRPr="00082948">
        <w:rPr>
          <w:rFonts w:ascii="Arial" w:hAnsi="Arial" w:cs="Arial"/>
          <w:b/>
          <w:szCs w:val="24"/>
        </w:rPr>
        <w:t>prohibit the</w:t>
      </w:r>
      <w:r w:rsidRPr="00082948">
        <w:rPr>
          <w:rFonts w:ascii="Arial" w:hAnsi="Arial" w:cs="Arial"/>
          <w:b/>
          <w:szCs w:val="24"/>
        </w:rPr>
        <w:t xml:space="preserve"> co-burning of gas and wood.</w:t>
      </w:r>
    </w:p>
    <w:p w:rsidR="00082948" w:rsidRDefault="00082948">
      <w:pPr>
        <w:widowControl/>
        <w:rPr>
          <w:rFonts w:ascii="Arial" w:hAnsi="Arial" w:cs="Arial"/>
          <w:b/>
          <w:szCs w:val="24"/>
        </w:rPr>
      </w:pPr>
      <w:r>
        <w:rPr>
          <w:rFonts w:ascii="Arial" w:hAnsi="Arial" w:cs="Arial"/>
          <w:b/>
          <w:szCs w:val="24"/>
        </w:rPr>
        <w:br w:type="page"/>
      </w:r>
    </w:p>
    <w:p w:rsidR="0018782B" w:rsidRPr="00082948" w:rsidRDefault="00E579BF" w:rsidP="00E579BF">
      <w:pPr>
        <w:pStyle w:val="Heading1"/>
        <w:rPr>
          <w:color w:val="auto"/>
        </w:rPr>
      </w:pPr>
      <w:proofErr w:type="gramStart"/>
      <w:r w:rsidRPr="00082948">
        <w:rPr>
          <w:color w:val="auto"/>
        </w:rPr>
        <w:lastRenderedPageBreak/>
        <w:t>Section 2.</w:t>
      </w:r>
      <w:proofErr w:type="gramEnd"/>
      <w:r w:rsidRPr="00082948">
        <w:rPr>
          <w:color w:val="auto"/>
        </w:rPr>
        <w:t xml:space="preserve"> Vendors</w:t>
      </w:r>
    </w:p>
    <w:p w:rsidR="0018782B" w:rsidRPr="00082948" w:rsidRDefault="0018782B" w:rsidP="00637051">
      <w:pPr>
        <w:rPr>
          <w:rFonts w:ascii="Arial" w:hAnsi="Arial" w:cs="Arial"/>
          <w:szCs w:val="24"/>
        </w:rPr>
      </w:pPr>
    </w:p>
    <w:p w:rsidR="00152204" w:rsidRPr="00082948" w:rsidRDefault="00637051" w:rsidP="00637051">
      <w:pPr>
        <w:rPr>
          <w:rFonts w:ascii="Arial" w:hAnsi="Arial" w:cs="Arial"/>
          <w:szCs w:val="24"/>
        </w:rPr>
      </w:pPr>
      <w:r w:rsidRPr="00082948">
        <w:rPr>
          <w:rFonts w:ascii="Arial" w:hAnsi="Arial" w:cs="Arial"/>
          <w:szCs w:val="24"/>
        </w:rPr>
        <w:t xml:space="preserve">DAQ is seeking </w:t>
      </w:r>
      <w:r w:rsidR="00655B3B" w:rsidRPr="00082948">
        <w:rPr>
          <w:rFonts w:ascii="Arial" w:hAnsi="Arial" w:cs="Arial"/>
          <w:szCs w:val="24"/>
        </w:rPr>
        <w:t xml:space="preserve">two </w:t>
      </w:r>
      <w:r w:rsidRPr="00082948">
        <w:rPr>
          <w:rFonts w:ascii="Arial" w:hAnsi="Arial" w:cs="Arial"/>
          <w:szCs w:val="24"/>
        </w:rPr>
        <w:t>types of vendors</w:t>
      </w:r>
      <w:r w:rsidR="00655B3B" w:rsidRPr="00082948">
        <w:rPr>
          <w:rFonts w:ascii="Arial" w:hAnsi="Arial" w:cs="Arial"/>
          <w:szCs w:val="24"/>
        </w:rPr>
        <w:t>:</w:t>
      </w:r>
    </w:p>
    <w:p w:rsidR="00E579BF" w:rsidRPr="00082948" w:rsidRDefault="00E579BF" w:rsidP="00637051">
      <w:pPr>
        <w:rPr>
          <w:rFonts w:ascii="Arial" w:hAnsi="Arial" w:cs="Arial"/>
          <w:szCs w:val="24"/>
        </w:rPr>
      </w:pPr>
    </w:p>
    <w:p w:rsidR="00637051" w:rsidRPr="00082948" w:rsidRDefault="00152204" w:rsidP="00152204">
      <w:pPr>
        <w:pStyle w:val="ListParagraph"/>
        <w:numPr>
          <w:ilvl w:val="0"/>
          <w:numId w:val="1"/>
        </w:numPr>
        <w:rPr>
          <w:rFonts w:ascii="Arial" w:hAnsi="Arial" w:cs="Arial"/>
          <w:szCs w:val="24"/>
        </w:rPr>
      </w:pPr>
      <w:r w:rsidRPr="00082948">
        <w:rPr>
          <w:rFonts w:ascii="Arial" w:hAnsi="Arial" w:cs="Arial"/>
          <w:szCs w:val="24"/>
        </w:rPr>
        <w:t>M</w:t>
      </w:r>
      <w:r w:rsidR="00637051" w:rsidRPr="00082948">
        <w:rPr>
          <w:rFonts w:ascii="Arial" w:hAnsi="Arial" w:cs="Arial"/>
          <w:szCs w:val="24"/>
        </w:rPr>
        <w:t xml:space="preserve">etal recyclers who will </w:t>
      </w:r>
      <w:r w:rsidRPr="00082948">
        <w:rPr>
          <w:rFonts w:ascii="Arial" w:hAnsi="Arial" w:cs="Arial"/>
          <w:szCs w:val="24"/>
        </w:rPr>
        <w:t xml:space="preserve">participate in the bounty program by </w:t>
      </w:r>
      <w:r w:rsidR="00637051" w:rsidRPr="00082948">
        <w:rPr>
          <w:rFonts w:ascii="Arial" w:hAnsi="Arial" w:cs="Arial"/>
          <w:szCs w:val="24"/>
        </w:rPr>
        <w:t>render</w:t>
      </w:r>
      <w:r w:rsidRPr="00082948">
        <w:rPr>
          <w:rFonts w:ascii="Arial" w:hAnsi="Arial" w:cs="Arial"/>
          <w:szCs w:val="24"/>
        </w:rPr>
        <w:t>ing</w:t>
      </w:r>
      <w:r w:rsidR="00935185" w:rsidRPr="00082948">
        <w:rPr>
          <w:rFonts w:ascii="Arial" w:hAnsi="Arial" w:cs="Arial"/>
          <w:szCs w:val="24"/>
        </w:rPr>
        <w:t xml:space="preserve"> wood </w:t>
      </w:r>
      <w:r w:rsidRPr="00082948">
        <w:rPr>
          <w:rFonts w:ascii="Arial" w:hAnsi="Arial" w:cs="Arial"/>
          <w:szCs w:val="24"/>
        </w:rPr>
        <w:t xml:space="preserve">stoves inoperable. </w:t>
      </w:r>
      <w:r w:rsidR="00E579BF" w:rsidRPr="00082948">
        <w:rPr>
          <w:rFonts w:ascii="Arial" w:hAnsi="Arial" w:cs="Arial"/>
          <w:szCs w:val="24"/>
        </w:rPr>
        <w:t xml:space="preserve">The vendor will accept the wood stoves for </w:t>
      </w:r>
      <w:r w:rsidR="006A77F4" w:rsidRPr="00082948">
        <w:rPr>
          <w:rFonts w:ascii="Arial" w:hAnsi="Arial" w:cs="Arial"/>
          <w:szCs w:val="24"/>
        </w:rPr>
        <w:t xml:space="preserve">recycling. The </w:t>
      </w:r>
      <w:r w:rsidR="00E579BF" w:rsidRPr="00082948">
        <w:rPr>
          <w:rFonts w:ascii="Arial" w:hAnsi="Arial" w:cs="Arial"/>
          <w:szCs w:val="24"/>
        </w:rPr>
        <w:t>scrap metal value</w:t>
      </w:r>
      <w:r w:rsidR="006A77F4" w:rsidRPr="00082948">
        <w:rPr>
          <w:rFonts w:ascii="Arial" w:hAnsi="Arial" w:cs="Arial"/>
          <w:szCs w:val="24"/>
        </w:rPr>
        <w:t xml:space="preserve"> must be returned to DAQ on a monthly basis</w:t>
      </w:r>
      <w:r w:rsidR="00E579BF" w:rsidRPr="00082948">
        <w:rPr>
          <w:rFonts w:ascii="Arial" w:hAnsi="Arial" w:cs="Arial"/>
          <w:szCs w:val="24"/>
        </w:rPr>
        <w:t>.</w:t>
      </w:r>
      <w:r w:rsidR="006A77F4" w:rsidRPr="00082948">
        <w:rPr>
          <w:rFonts w:ascii="Arial" w:hAnsi="Arial" w:cs="Arial"/>
          <w:szCs w:val="24"/>
        </w:rPr>
        <w:t xml:space="preserve"> </w:t>
      </w:r>
    </w:p>
    <w:p w:rsidR="00E579BF" w:rsidRPr="00082948" w:rsidRDefault="00E579BF" w:rsidP="00E579BF">
      <w:pPr>
        <w:pStyle w:val="ListParagraph"/>
        <w:rPr>
          <w:rFonts w:ascii="Arial" w:hAnsi="Arial" w:cs="Arial"/>
          <w:szCs w:val="24"/>
        </w:rPr>
      </w:pPr>
    </w:p>
    <w:p w:rsidR="006A77F4" w:rsidRPr="00082948" w:rsidRDefault="00152204" w:rsidP="006A77F4">
      <w:pPr>
        <w:pStyle w:val="ListParagraph"/>
        <w:numPr>
          <w:ilvl w:val="0"/>
          <w:numId w:val="1"/>
        </w:numPr>
        <w:rPr>
          <w:rFonts w:ascii="Arial" w:hAnsi="Arial" w:cs="Arial"/>
          <w:szCs w:val="24"/>
        </w:rPr>
      </w:pPr>
      <w:r w:rsidRPr="00082948">
        <w:rPr>
          <w:rFonts w:ascii="Arial" w:hAnsi="Arial" w:cs="Arial"/>
          <w:szCs w:val="24"/>
        </w:rPr>
        <w:t xml:space="preserve">Retail </w:t>
      </w:r>
      <w:proofErr w:type="gramStart"/>
      <w:r w:rsidRPr="00082948">
        <w:rPr>
          <w:rFonts w:ascii="Arial" w:hAnsi="Arial" w:cs="Arial"/>
          <w:szCs w:val="24"/>
        </w:rPr>
        <w:t>vendors</w:t>
      </w:r>
      <w:proofErr w:type="gramEnd"/>
      <w:r w:rsidRPr="00082948">
        <w:rPr>
          <w:rFonts w:ascii="Arial" w:hAnsi="Arial" w:cs="Arial"/>
          <w:szCs w:val="24"/>
        </w:rPr>
        <w:t xml:space="preserve"> who will offer replacement stoves, </w:t>
      </w:r>
      <w:r w:rsidRPr="00DE2DAD">
        <w:rPr>
          <w:rFonts w:ascii="Arial" w:hAnsi="Arial" w:cs="Arial"/>
          <w:szCs w:val="24"/>
        </w:rPr>
        <w:t>install new stoves</w:t>
      </w:r>
      <w:r w:rsidRPr="00082948">
        <w:rPr>
          <w:rFonts w:ascii="Arial" w:hAnsi="Arial" w:cs="Arial"/>
          <w:szCs w:val="24"/>
        </w:rPr>
        <w:t>, remove old stoves and certify that the</w:t>
      </w:r>
      <w:r w:rsidR="0024531B" w:rsidRPr="00082948">
        <w:rPr>
          <w:rFonts w:ascii="Arial" w:hAnsi="Arial" w:cs="Arial"/>
          <w:szCs w:val="24"/>
        </w:rPr>
        <w:t xml:space="preserve"> </w:t>
      </w:r>
      <w:r w:rsidR="006A77F4" w:rsidRPr="00082948">
        <w:rPr>
          <w:rFonts w:ascii="Arial" w:hAnsi="Arial" w:cs="Arial"/>
          <w:szCs w:val="24"/>
        </w:rPr>
        <w:t xml:space="preserve">surrendered </w:t>
      </w:r>
      <w:r w:rsidR="0024531B" w:rsidRPr="00082948">
        <w:rPr>
          <w:rFonts w:ascii="Arial" w:hAnsi="Arial" w:cs="Arial"/>
          <w:szCs w:val="24"/>
        </w:rPr>
        <w:t>stoves</w:t>
      </w:r>
      <w:r w:rsidRPr="00082948">
        <w:rPr>
          <w:rFonts w:ascii="Arial" w:hAnsi="Arial" w:cs="Arial"/>
          <w:szCs w:val="24"/>
        </w:rPr>
        <w:t xml:space="preserve"> have been rendered inoperable. </w:t>
      </w:r>
      <w:r w:rsidR="006A77F4" w:rsidRPr="00082948">
        <w:rPr>
          <w:rFonts w:ascii="Arial" w:hAnsi="Arial" w:cs="Arial"/>
          <w:szCs w:val="24"/>
        </w:rPr>
        <w:t xml:space="preserve">The scrap metal value must be returned </w:t>
      </w:r>
      <w:r w:rsidR="00DE2DAD">
        <w:rPr>
          <w:rFonts w:ascii="Arial" w:hAnsi="Arial" w:cs="Arial"/>
          <w:szCs w:val="24"/>
        </w:rPr>
        <w:t xml:space="preserve">as an invoice credit </w:t>
      </w:r>
      <w:r w:rsidR="006A77F4" w:rsidRPr="00082948">
        <w:rPr>
          <w:rFonts w:ascii="Arial" w:hAnsi="Arial" w:cs="Arial"/>
          <w:szCs w:val="24"/>
        </w:rPr>
        <w:t xml:space="preserve">to DAQ. </w:t>
      </w:r>
    </w:p>
    <w:p w:rsidR="00152204" w:rsidRPr="00082948" w:rsidRDefault="00152204" w:rsidP="006A77F4">
      <w:pPr>
        <w:pStyle w:val="ListParagraph"/>
        <w:rPr>
          <w:rFonts w:ascii="Arial" w:hAnsi="Arial" w:cs="Arial"/>
          <w:szCs w:val="24"/>
        </w:rPr>
      </w:pPr>
    </w:p>
    <w:p w:rsidR="00E579BF" w:rsidRPr="00082948" w:rsidRDefault="00E579BF" w:rsidP="006A77F4">
      <w:pPr>
        <w:rPr>
          <w:rFonts w:ascii="Arial" w:hAnsi="Arial" w:cs="Arial"/>
          <w:b/>
          <w:szCs w:val="24"/>
        </w:rPr>
      </w:pPr>
      <w:r w:rsidRPr="00082948">
        <w:rPr>
          <w:rFonts w:ascii="Arial" w:hAnsi="Arial" w:cs="Arial"/>
          <w:b/>
          <w:szCs w:val="24"/>
        </w:rPr>
        <w:t>A vendor may choose to offer both services.</w:t>
      </w:r>
    </w:p>
    <w:p w:rsidR="006A77F4" w:rsidRPr="00082948" w:rsidRDefault="006A77F4" w:rsidP="006A77F4">
      <w:pPr>
        <w:rPr>
          <w:rFonts w:ascii="Arial" w:hAnsi="Arial" w:cs="Arial"/>
          <w:b/>
          <w:szCs w:val="24"/>
        </w:rPr>
      </w:pPr>
    </w:p>
    <w:p w:rsidR="00152204" w:rsidRPr="00082948" w:rsidRDefault="00152204" w:rsidP="00152204">
      <w:pPr>
        <w:rPr>
          <w:rFonts w:ascii="Arial" w:hAnsi="Arial" w:cs="Arial"/>
          <w:b/>
          <w:szCs w:val="24"/>
        </w:rPr>
      </w:pPr>
      <w:r w:rsidRPr="00082948">
        <w:rPr>
          <w:rFonts w:ascii="Arial" w:hAnsi="Arial" w:cs="Arial"/>
          <w:b/>
          <w:szCs w:val="24"/>
        </w:rPr>
        <w:t xml:space="preserve">The program is open to all vendors who choose to participate and meet the conditions set forth in this vendor </w:t>
      </w:r>
      <w:r w:rsidR="00E579BF" w:rsidRPr="00082948">
        <w:rPr>
          <w:rFonts w:ascii="Arial" w:hAnsi="Arial" w:cs="Arial"/>
          <w:b/>
          <w:szCs w:val="24"/>
        </w:rPr>
        <w:t>agreement.</w:t>
      </w:r>
    </w:p>
    <w:p w:rsidR="002C4EFE" w:rsidRPr="00082948" w:rsidRDefault="00E579BF" w:rsidP="00E579BF">
      <w:pPr>
        <w:tabs>
          <w:tab w:val="left" w:pos="5550"/>
        </w:tabs>
        <w:rPr>
          <w:rFonts w:ascii="Arial" w:hAnsi="Arial" w:cs="Arial"/>
          <w:szCs w:val="24"/>
        </w:rPr>
      </w:pPr>
      <w:r w:rsidRPr="00082948">
        <w:rPr>
          <w:rFonts w:ascii="Arial" w:hAnsi="Arial" w:cs="Arial"/>
          <w:szCs w:val="24"/>
        </w:rPr>
        <w:tab/>
      </w:r>
    </w:p>
    <w:p w:rsidR="00E579BF" w:rsidRPr="00082948" w:rsidRDefault="002C4EFE" w:rsidP="00152204">
      <w:pPr>
        <w:rPr>
          <w:rFonts w:ascii="Arial" w:hAnsi="Arial" w:cs="Arial"/>
          <w:szCs w:val="24"/>
        </w:rPr>
      </w:pPr>
      <w:r w:rsidRPr="00082948">
        <w:rPr>
          <w:rFonts w:ascii="Arial" w:hAnsi="Arial" w:cs="Arial"/>
          <w:szCs w:val="24"/>
        </w:rPr>
        <w:t xml:space="preserve">Residential homeowners will be pre-approved through an </w:t>
      </w:r>
      <w:r w:rsidR="006A77F4" w:rsidRPr="00082948">
        <w:rPr>
          <w:rFonts w:ascii="Arial" w:hAnsi="Arial" w:cs="Arial"/>
          <w:szCs w:val="24"/>
        </w:rPr>
        <w:t xml:space="preserve">online </w:t>
      </w:r>
      <w:r w:rsidRPr="00082948">
        <w:rPr>
          <w:rFonts w:ascii="Arial" w:hAnsi="Arial" w:cs="Arial"/>
          <w:szCs w:val="24"/>
        </w:rPr>
        <w:t xml:space="preserve">application process. An award certificate will be issued to </w:t>
      </w:r>
      <w:proofErr w:type="gramStart"/>
      <w:r w:rsidRPr="00082948">
        <w:rPr>
          <w:rFonts w:ascii="Arial" w:hAnsi="Arial" w:cs="Arial"/>
          <w:szCs w:val="24"/>
        </w:rPr>
        <w:t>approved</w:t>
      </w:r>
      <w:proofErr w:type="gramEnd"/>
      <w:r w:rsidRPr="00082948">
        <w:rPr>
          <w:rFonts w:ascii="Arial" w:hAnsi="Arial" w:cs="Arial"/>
          <w:szCs w:val="24"/>
        </w:rPr>
        <w:t xml:space="preserve"> homeowners. The hom</w:t>
      </w:r>
      <w:r w:rsidR="0024531B" w:rsidRPr="00082948">
        <w:rPr>
          <w:rFonts w:ascii="Arial" w:hAnsi="Arial" w:cs="Arial"/>
          <w:szCs w:val="24"/>
        </w:rPr>
        <w:t>eowners will be required to</w:t>
      </w:r>
      <w:r w:rsidRPr="00082948">
        <w:rPr>
          <w:rFonts w:ascii="Arial" w:hAnsi="Arial" w:cs="Arial"/>
          <w:szCs w:val="24"/>
        </w:rPr>
        <w:t xml:space="preserve"> use </w:t>
      </w:r>
      <w:r w:rsidR="0024531B" w:rsidRPr="00082948">
        <w:rPr>
          <w:rFonts w:ascii="Arial" w:hAnsi="Arial" w:cs="Arial"/>
          <w:szCs w:val="24"/>
        </w:rPr>
        <w:t xml:space="preserve">only </w:t>
      </w:r>
      <w:r w:rsidRPr="00082948">
        <w:rPr>
          <w:rFonts w:ascii="Arial" w:hAnsi="Arial" w:cs="Arial"/>
          <w:szCs w:val="24"/>
        </w:rPr>
        <w:t xml:space="preserve">DAQ approved vendors. </w:t>
      </w:r>
      <w:r w:rsidR="003E71FC">
        <w:rPr>
          <w:rFonts w:ascii="Arial" w:hAnsi="Arial" w:cs="Arial"/>
          <w:szCs w:val="24"/>
        </w:rPr>
        <w:t>P</w:t>
      </w:r>
      <w:r w:rsidR="006A77F4" w:rsidRPr="00082948">
        <w:rPr>
          <w:rFonts w:ascii="Arial" w:hAnsi="Arial" w:cs="Arial"/>
          <w:szCs w:val="24"/>
        </w:rPr>
        <w:t xml:space="preserve">articipating </w:t>
      </w:r>
      <w:r w:rsidR="003E71FC">
        <w:rPr>
          <w:rFonts w:ascii="Arial" w:hAnsi="Arial" w:cs="Arial"/>
          <w:szCs w:val="24"/>
        </w:rPr>
        <w:t xml:space="preserve">vendors </w:t>
      </w:r>
      <w:r w:rsidR="00212948" w:rsidRPr="00082948">
        <w:rPr>
          <w:rFonts w:ascii="Arial" w:hAnsi="Arial" w:cs="Arial"/>
          <w:szCs w:val="24"/>
        </w:rPr>
        <w:t xml:space="preserve">will have access to an online list of </w:t>
      </w:r>
      <w:r w:rsidR="006A77F4" w:rsidRPr="00082948">
        <w:rPr>
          <w:rFonts w:ascii="Arial" w:hAnsi="Arial" w:cs="Arial"/>
          <w:szCs w:val="24"/>
        </w:rPr>
        <w:t xml:space="preserve">participants who have been issued an award and the amount of the award. This list will provide vendors </w:t>
      </w:r>
      <w:r w:rsidR="00212948" w:rsidRPr="00082948">
        <w:rPr>
          <w:rFonts w:ascii="Arial" w:hAnsi="Arial" w:cs="Arial"/>
          <w:szCs w:val="24"/>
        </w:rPr>
        <w:t>verif</w:t>
      </w:r>
      <w:r w:rsidR="006A77F4" w:rsidRPr="00082948">
        <w:rPr>
          <w:rFonts w:ascii="Arial" w:hAnsi="Arial" w:cs="Arial"/>
          <w:szCs w:val="24"/>
        </w:rPr>
        <w:t xml:space="preserve">ication of </w:t>
      </w:r>
      <w:r w:rsidR="00250BEC" w:rsidRPr="00082948">
        <w:rPr>
          <w:rFonts w:ascii="Arial" w:hAnsi="Arial" w:cs="Arial"/>
          <w:szCs w:val="24"/>
        </w:rPr>
        <w:t>a credible</w:t>
      </w:r>
      <w:r w:rsidR="00212948" w:rsidRPr="00082948">
        <w:rPr>
          <w:rFonts w:ascii="Arial" w:hAnsi="Arial" w:cs="Arial"/>
          <w:szCs w:val="24"/>
        </w:rPr>
        <w:t xml:space="preserve"> award voucher. </w:t>
      </w:r>
      <w:r w:rsidR="00CA3A4B" w:rsidRPr="00082948">
        <w:rPr>
          <w:rFonts w:ascii="Arial" w:hAnsi="Arial" w:cs="Arial"/>
          <w:szCs w:val="24"/>
        </w:rPr>
        <w:t>Vendors will be required to complete the award documentation</w:t>
      </w:r>
      <w:r w:rsidR="003E71FC">
        <w:rPr>
          <w:rFonts w:ascii="Arial" w:hAnsi="Arial" w:cs="Arial"/>
          <w:szCs w:val="24"/>
        </w:rPr>
        <w:t>.</w:t>
      </w:r>
    </w:p>
    <w:p w:rsidR="00E579BF" w:rsidRPr="00082948" w:rsidRDefault="00E579BF" w:rsidP="00152204">
      <w:pPr>
        <w:rPr>
          <w:rFonts w:ascii="Arial" w:hAnsi="Arial" w:cs="Arial"/>
          <w:szCs w:val="24"/>
        </w:rPr>
      </w:pPr>
    </w:p>
    <w:p w:rsidR="0024531B" w:rsidRPr="00082948" w:rsidRDefault="0024531B" w:rsidP="0024531B">
      <w:pPr>
        <w:rPr>
          <w:rFonts w:ascii="Arial" w:hAnsi="Arial" w:cs="Arial"/>
          <w:szCs w:val="24"/>
        </w:rPr>
      </w:pPr>
      <w:r w:rsidRPr="00082948">
        <w:rPr>
          <w:rFonts w:ascii="Arial" w:hAnsi="Arial" w:cs="Arial"/>
          <w:szCs w:val="24"/>
        </w:rPr>
        <w:t xml:space="preserve">Retail vendors will warranty the installation of a new </w:t>
      </w:r>
      <w:r w:rsidR="003E71FC">
        <w:rPr>
          <w:rFonts w:ascii="Arial" w:hAnsi="Arial" w:cs="Arial"/>
          <w:szCs w:val="24"/>
        </w:rPr>
        <w:t xml:space="preserve">appliance </w:t>
      </w:r>
      <w:r w:rsidRPr="00082948">
        <w:rPr>
          <w:rFonts w:ascii="Arial" w:hAnsi="Arial" w:cs="Arial"/>
          <w:szCs w:val="24"/>
        </w:rPr>
        <w:t xml:space="preserve">for 1 (one) year. </w:t>
      </w:r>
      <w:r w:rsidR="003E71FC">
        <w:rPr>
          <w:rFonts w:ascii="Arial" w:hAnsi="Arial" w:cs="Arial"/>
          <w:szCs w:val="24"/>
        </w:rPr>
        <w:t>Appliances</w:t>
      </w:r>
      <w:r w:rsidRPr="00082948">
        <w:rPr>
          <w:rFonts w:ascii="Arial" w:hAnsi="Arial" w:cs="Arial"/>
          <w:szCs w:val="24"/>
        </w:rPr>
        <w:t xml:space="preserve"> will carry the manufacturer’s warranty, and any and all warranties under the manufacturer’s warranty will be addressed by the manufacturer.</w:t>
      </w:r>
      <w:r w:rsidR="00935185" w:rsidRPr="00082948">
        <w:rPr>
          <w:rFonts w:ascii="Arial" w:hAnsi="Arial" w:cs="Arial"/>
          <w:szCs w:val="24"/>
        </w:rPr>
        <w:t xml:space="preserve"> </w:t>
      </w:r>
      <w:r w:rsidRPr="00082948">
        <w:rPr>
          <w:rFonts w:ascii="Arial" w:hAnsi="Arial" w:cs="Arial"/>
          <w:szCs w:val="24"/>
        </w:rPr>
        <w:t xml:space="preserve">DAQ will not warranty any </w:t>
      </w:r>
      <w:r w:rsidR="003E71FC">
        <w:rPr>
          <w:rFonts w:ascii="Arial" w:hAnsi="Arial" w:cs="Arial"/>
          <w:szCs w:val="24"/>
        </w:rPr>
        <w:t xml:space="preserve">appliances </w:t>
      </w:r>
      <w:r w:rsidRPr="00082948">
        <w:rPr>
          <w:rFonts w:ascii="Arial" w:hAnsi="Arial" w:cs="Arial"/>
          <w:szCs w:val="24"/>
        </w:rPr>
        <w:t xml:space="preserve">purchased and installed through this program or </w:t>
      </w:r>
      <w:proofErr w:type="gramStart"/>
      <w:r w:rsidRPr="00082948">
        <w:rPr>
          <w:rFonts w:ascii="Arial" w:hAnsi="Arial" w:cs="Arial"/>
          <w:szCs w:val="24"/>
        </w:rPr>
        <w:t>be</w:t>
      </w:r>
      <w:proofErr w:type="gramEnd"/>
      <w:r w:rsidRPr="00082948">
        <w:rPr>
          <w:rFonts w:ascii="Arial" w:hAnsi="Arial" w:cs="Arial"/>
          <w:szCs w:val="24"/>
        </w:rPr>
        <w:t xml:space="preserve"> liable for workmanship, quality, functionality, satisfaction of the </w:t>
      </w:r>
      <w:r w:rsidR="003E71FC">
        <w:rPr>
          <w:rFonts w:ascii="Arial" w:hAnsi="Arial" w:cs="Arial"/>
          <w:szCs w:val="24"/>
        </w:rPr>
        <w:t>appliance</w:t>
      </w:r>
      <w:r w:rsidRPr="00082948">
        <w:rPr>
          <w:rFonts w:ascii="Arial" w:hAnsi="Arial" w:cs="Arial"/>
          <w:szCs w:val="24"/>
        </w:rPr>
        <w:t>, or its installation.</w:t>
      </w:r>
    </w:p>
    <w:p w:rsidR="0024531B" w:rsidRPr="00082948" w:rsidRDefault="0024531B" w:rsidP="0024531B">
      <w:pPr>
        <w:rPr>
          <w:rFonts w:ascii="Arial" w:hAnsi="Arial" w:cs="Arial"/>
          <w:szCs w:val="24"/>
        </w:rPr>
      </w:pPr>
    </w:p>
    <w:p w:rsidR="002C4EFE" w:rsidRPr="00082948" w:rsidRDefault="00E579BF" w:rsidP="00152204">
      <w:pPr>
        <w:rPr>
          <w:rFonts w:ascii="Arial" w:hAnsi="Arial" w:cs="Arial"/>
          <w:b/>
          <w:szCs w:val="24"/>
        </w:rPr>
      </w:pPr>
      <w:r w:rsidRPr="00082948">
        <w:rPr>
          <w:rFonts w:ascii="Arial" w:hAnsi="Arial" w:cs="Arial"/>
          <w:b/>
          <w:szCs w:val="24"/>
        </w:rPr>
        <w:t xml:space="preserve">Gas stoves must meet the requirements of </w:t>
      </w:r>
      <w:r w:rsidR="00871422" w:rsidRPr="00082948">
        <w:rPr>
          <w:rFonts w:ascii="Arial" w:hAnsi="Arial" w:cs="Arial"/>
          <w:b/>
          <w:szCs w:val="24"/>
        </w:rPr>
        <w:t xml:space="preserve">the </w:t>
      </w:r>
      <w:r w:rsidRPr="00082948">
        <w:rPr>
          <w:rFonts w:ascii="Arial" w:hAnsi="Arial" w:cs="Arial"/>
          <w:b/>
          <w:szCs w:val="24"/>
        </w:rPr>
        <w:t xml:space="preserve">Utah Administrative </w:t>
      </w:r>
      <w:r w:rsidR="00871422" w:rsidRPr="00082948">
        <w:rPr>
          <w:rFonts w:ascii="Arial" w:hAnsi="Arial" w:cs="Arial"/>
          <w:b/>
          <w:szCs w:val="24"/>
        </w:rPr>
        <w:t xml:space="preserve">Code </w:t>
      </w:r>
      <w:r w:rsidRPr="00082948">
        <w:rPr>
          <w:rFonts w:ascii="Arial" w:hAnsi="Arial" w:cs="Arial"/>
          <w:b/>
          <w:szCs w:val="24"/>
        </w:rPr>
        <w:t>R307-356</w:t>
      </w:r>
      <w:r w:rsidR="00903C61" w:rsidRPr="00082948">
        <w:rPr>
          <w:rFonts w:ascii="Arial" w:hAnsi="Arial" w:cs="Arial"/>
          <w:b/>
          <w:szCs w:val="24"/>
        </w:rPr>
        <w:t xml:space="preserve"> </w:t>
      </w:r>
      <w:r w:rsidR="00871422" w:rsidRPr="00082948">
        <w:rPr>
          <w:rFonts w:ascii="Arial" w:hAnsi="Arial" w:cs="Arial"/>
          <w:b/>
          <w:szCs w:val="24"/>
        </w:rPr>
        <w:t>(</w:t>
      </w:r>
      <w:r w:rsidR="00903C61" w:rsidRPr="00082948">
        <w:rPr>
          <w:rFonts w:ascii="Arial" w:hAnsi="Arial" w:cs="Arial"/>
          <w:b/>
          <w:szCs w:val="24"/>
        </w:rPr>
        <w:t>Appliance Pilot Light</w:t>
      </w:r>
      <w:r w:rsidR="00871422" w:rsidRPr="00082948">
        <w:rPr>
          <w:rFonts w:ascii="Arial" w:hAnsi="Arial" w:cs="Arial"/>
          <w:b/>
          <w:szCs w:val="24"/>
        </w:rPr>
        <w:t>).</w:t>
      </w:r>
      <w:r w:rsidR="00903C61" w:rsidRPr="00082948">
        <w:rPr>
          <w:rFonts w:ascii="Arial" w:hAnsi="Arial" w:cs="Arial"/>
          <w:b/>
          <w:szCs w:val="24"/>
        </w:rPr>
        <w:t xml:space="preserve"> </w:t>
      </w:r>
      <w:r w:rsidR="00871422" w:rsidRPr="00082948">
        <w:rPr>
          <w:rFonts w:ascii="Arial" w:hAnsi="Arial" w:cs="Arial"/>
          <w:b/>
          <w:szCs w:val="24"/>
        </w:rPr>
        <w:t>This rule</w:t>
      </w:r>
      <w:r w:rsidRPr="00082948">
        <w:rPr>
          <w:rFonts w:ascii="Arial" w:hAnsi="Arial" w:cs="Arial"/>
          <w:b/>
          <w:szCs w:val="24"/>
        </w:rPr>
        <w:t xml:space="preserve"> prohibits the use of </w:t>
      </w:r>
      <w:r w:rsidR="00903C61" w:rsidRPr="00082948">
        <w:rPr>
          <w:rFonts w:ascii="Arial" w:hAnsi="Arial" w:cs="Arial"/>
          <w:b/>
          <w:szCs w:val="24"/>
        </w:rPr>
        <w:t xml:space="preserve">a </w:t>
      </w:r>
      <w:r w:rsidRPr="00082948">
        <w:rPr>
          <w:rFonts w:ascii="Arial" w:hAnsi="Arial" w:cs="Arial"/>
          <w:b/>
          <w:szCs w:val="24"/>
        </w:rPr>
        <w:t xml:space="preserve">continuous pilot light in a heating device. </w:t>
      </w:r>
      <w:r w:rsidR="00871422" w:rsidRPr="00082948">
        <w:rPr>
          <w:rFonts w:ascii="Arial" w:hAnsi="Arial" w:cs="Arial"/>
          <w:b/>
          <w:szCs w:val="24"/>
        </w:rPr>
        <w:t>However, a</w:t>
      </w:r>
      <w:r w:rsidR="00903C61" w:rsidRPr="00082948">
        <w:rPr>
          <w:rFonts w:ascii="Arial" w:hAnsi="Arial" w:cs="Arial"/>
          <w:b/>
          <w:szCs w:val="24"/>
        </w:rPr>
        <w:t xml:space="preserve">n intermittent pilot ignition may be used. </w:t>
      </w:r>
    </w:p>
    <w:p w:rsidR="00903C61" w:rsidRPr="00082948" w:rsidRDefault="00903C61" w:rsidP="00152204">
      <w:pPr>
        <w:rPr>
          <w:rFonts w:ascii="Arial" w:hAnsi="Arial" w:cs="Arial"/>
          <w:b/>
          <w:szCs w:val="24"/>
        </w:rPr>
      </w:pPr>
    </w:p>
    <w:p w:rsidR="00903C61" w:rsidRPr="00082948" w:rsidRDefault="00903C61" w:rsidP="00152204">
      <w:pPr>
        <w:rPr>
          <w:rFonts w:ascii="Arial" w:hAnsi="Arial" w:cs="Arial"/>
          <w:b/>
          <w:szCs w:val="24"/>
        </w:rPr>
      </w:pPr>
      <w:r w:rsidRPr="00082948">
        <w:rPr>
          <w:rFonts w:ascii="Arial" w:hAnsi="Arial" w:cs="Arial"/>
          <w:b/>
          <w:szCs w:val="24"/>
        </w:rPr>
        <w:t xml:space="preserve">Wood </w:t>
      </w:r>
      <w:r w:rsidR="00BC281B" w:rsidRPr="00082948">
        <w:rPr>
          <w:rFonts w:ascii="Arial" w:hAnsi="Arial" w:cs="Arial"/>
          <w:b/>
          <w:szCs w:val="24"/>
        </w:rPr>
        <w:t>s</w:t>
      </w:r>
      <w:r w:rsidRPr="00082948">
        <w:rPr>
          <w:rFonts w:ascii="Arial" w:hAnsi="Arial" w:cs="Arial"/>
          <w:b/>
          <w:szCs w:val="24"/>
        </w:rPr>
        <w:t xml:space="preserve">toves must meet the requirements of </w:t>
      </w:r>
      <w:r w:rsidR="00BC281B" w:rsidRPr="00082948">
        <w:rPr>
          <w:rFonts w:ascii="Arial" w:hAnsi="Arial" w:cs="Arial"/>
          <w:b/>
          <w:szCs w:val="24"/>
        </w:rPr>
        <w:t xml:space="preserve">the </w:t>
      </w:r>
      <w:r w:rsidRPr="00082948">
        <w:rPr>
          <w:rFonts w:ascii="Arial" w:hAnsi="Arial" w:cs="Arial"/>
          <w:b/>
          <w:szCs w:val="24"/>
        </w:rPr>
        <w:t xml:space="preserve">Utah Administrative </w:t>
      </w:r>
      <w:r w:rsidR="00BC281B" w:rsidRPr="00082948">
        <w:rPr>
          <w:rFonts w:ascii="Arial" w:hAnsi="Arial" w:cs="Arial"/>
          <w:b/>
          <w:szCs w:val="24"/>
        </w:rPr>
        <w:t>Code</w:t>
      </w:r>
      <w:r w:rsidRPr="00082948">
        <w:rPr>
          <w:rFonts w:ascii="Arial" w:hAnsi="Arial" w:cs="Arial"/>
          <w:b/>
          <w:szCs w:val="24"/>
        </w:rPr>
        <w:t xml:space="preserve"> R307-302 </w:t>
      </w:r>
      <w:r w:rsidR="00BC281B" w:rsidRPr="00082948">
        <w:rPr>
          <w:rFonts w:ascii="Arial" w:hAnsi="Arial" w:cs="Arial"/>
          <w:b/>
          <w:szCs w:val="24"/>
        </w:rPr>
        <w:t>(</w:t>
      </w:r>
      <w:r w:rsidRPr="00082948">
        <w:rPr>
          <w:rFonts w:ascii="Arial" w:hAnsi="Arial" w:cs="Arial"/>
          <w:b/>
          <w:szCs w:val="24"/>
        </w:rPr>
        <w:t xml:space="preserve">Solid Fuel Burning </w:t>
      </w:r>
      <w:r w:rsidR="00F03710">
        <w:rPr>
          <w:rFonts w:ascii="Arial" w:hAnsi="Arial" w:cs="Arial"/>
          <w:b/>
          <w:szCs w:val="24"/>
        </w:rPr>
        <w:t>Appliances</w:t>
      </w:r>
      <w:r w:rsidRPr="00082948">
        <w:rPr>
          <w:rFonts w:ascii="Arial" w:hAnsi="Arial" w:cs="Arial"/>
          <w:b/>
          <w:szCs w:val="24"/>
        </w:rPr>
        <w:t xml:space="preserve"> in Box Elder, Cache, Davis, Salt Lake, Tooele, Utah, and Weber Counties</w:t>
      </w:r>
      <w:r w:rsidR="00BC281B" w:rsidRPr="00082948">
        <w:rPr>
          <w:rFonts w:ascii="Arial" w:hAnsi="Arial" w:cs="Arial"/>
          <w:b/>
          <w:szCs w:val="24"/>
        </w:rPr>
        <w:t>)</w:t>
      </w:r>
      <w:r w:rsidRPr="00082948">
        <w:rPr>
          <w:rFonts w:ascii="Arial" w:hAnsi="Arial" w:cs="Arial"/>
          <w:b/>
          <w:szCs w:val="24"/>
        </w:rPr>
        <w:t>. R307-302 requires that all wood stoves sold in these counties be EPA certified.</w:t>
      </w:r>
      <w:r w:rsidR="00250BEC" w:rsidRPr="00082948">
        <w:rPr>
          <w:rFonts w:ascii="Arial" w:hAnsi="Arial" w:cs="Arial"/>
          <w:b/>
          <w:szCs w:val="24"/>
        </w:rPr>
        <w:t xml:space="preserve"> Please note that Step 2 of the NSPS is currently scheduled for 2020 which will require an EPA certified stove to emit lower particulates.</w:t>
      </w:r>
    </w:p>
    <w:p w:rsidR="00903C61" w:rsidRPr="00082948" w:rsidRDefault="00903C61" w:rsidP="00903C61">
      <w:pPr>
        <w:pStyle w:val="Heading1"/>
        <w:rPr>
          <w:color w:val="auto"/>
        </w:rPr>
      </w:pPr>
      <w:proofErr w:type="gramStart"/>
      <w:r w:rsidRPr="00082948">
        <w:rPr>
          <w:color w:val="auto"/>
        </w:rPr>
        <w:t>Section 3.</w:t>
      </w:r>
      <w:proofErr w:type="gramEnd"/>
      <w:r w:rsidRPr="00082948">
        <w:rPr>
          <w:color w:val="auto"/>
        </w:rPr>
        <w:t xml:space="preserve"> Specific Conditions</w:t>
      </w:r>
    </w:p>
    <w:p w:rsidR="00616112" w:rsidRPr="00082948" w:rsidRDefault="00616112" w:rsidP="00903C61">
      <w:pPr>
        <w:pStyle w:val="ListParagraph"/>
        <w:rPr>
          <w:rFonts w:ascii="Arial" w:hAnsi="Arial" w:cs="Arial"/>
          <w:szCs w:val="24"/>
        </w:rPr>
      </w:pPr>
    </w:p>
    <w:p w:rsidR="00EE5621" w:rsidRPr="00082948" w:rsidRDefault="00EE5621" w:rsidP="00EE5621">
      <w:pPr>
        <w:pStyle w:val="ListParagraph"/>
        <w:numPr>
          <w:ilvl w:val="0"/>
          <w:numId w:val="4"/>
        </w:numPr>
        <w:rPr>
          <w:rFonts w:ascii="Arial" w:hAnsi="Arial" w:cs="Arial"/>
          <w:szCs w:val="24"/>
        </w:rPr>
      </w:pPr>
      <w:r w:rsidRPr="00082948">
        <w:rPr>
          <w:rFonts w:ascii="Arial" w:hAnsi="Arial" w:cs="Arial"/>
          <w:szCs w:val="24"/>
        </w:rPr>
        <w:t>Installers must be certified by the National Fireplace Institute.</w:t>
      </w:r>
    </w:p>
    <w:p w:rsidR="00903C61" w:rsidRPr="00082948" w:rsidRDefault="00903C61" w:rsidP="00903C61">
      <w:pPr>
        <w:pStyle w:val="ListParagraph"/>
        <w:numPr>
          <w:ilvl w:val="0"/>
          <w:numId w:val="4"/>
        </w:numPr>
        <w:rPr>
          <w:rFonts w:ascii="Arial" w:hAnsi="Arial" w:cs="Arial"/>
          <w:szCs w:val="24"/>
        </w:rPr>
      </w:pPr>
      <w:r w:rsidRPr="00082948">
        <w:rPr>
          <w:rFonts w:ascii="Arial" w:hAnsi="Arial" w:cs="Arial"/>
          <w:szCs w:val="24"/>
        </w:rPr>
        <w:t xml:space="preserve">DAQ retains the right to conduct unannounced vendor site inspections to confirm that change-out </w:t>
      </w:r>
      <w:r w:rsidR="00935185" w:rsidRPr="00082948">
        <w:rPr>
          <w:rFonts w:ascii="Arial" w:hAnsi="Arial" w:cs="Arial"/>
          <w:szCs w:val="24"/>
        </w:rPr>
        <w:t xml:space="preserve">wood </w:t>
      </w:r>
      <w:r w:rsidRPr="00082948">
        <w:rPr>
          <w:rFonts w:ascii="Arial" w:hAnsi="Arial" w:cs="Arial"/>
          <w:szCs w:val="24"/>
        </w:rPr>
        <w:t>stoves have been rendered inoperable</w:t>
      </w:r>
      <w:r w:rsidR="001A130A" w:rsidRPr="00082948">
        <w:rPr>
          <w:rFonts w:ascii="Arial" w:hAnsi="Arial" w:cs="Arial"/>
          <w:szCs w:val="24"/>
        </w:rPr>
        <w:t xml:space="preserve"> and that new stoves meet the prevailing NSPS standard at that time</w:t>
      </w:r>
      <w:r w:rsidRPr="00082948">
        <w:rPr>
          <w:rFonts w:ascii="Arial" w:hAnsi="Arial" w:cs="Arial"/>
          <w:szCs w:val="24"/>
        </w:rPr>
        <w:t xml:space="preserve">. </w:t>
      </w:r>
    </w:p>
    <w:p w:rsidR="00903C61" w:rsidRPr="00082948" w:rsidRDefault="00903C61" w:rsidP="00903C61">
      <w:pPr>
        <w:pStyle w:val="ListParagraph"/>
        <w:numPr>
          <w:ilvl w:val="0"/>
          <w:numId w:val="4"/>
        </w:numPr>
        <w:rPr>
          <w:rFonts w:ascii="Arial" w:hAnsi="Arial" w:cs="Arial"/>
          <w:szCs w:val="24"/>
        </w:rPr>
      </w:pPr>
      <w:r w:rsidRPr="00082948">
        <w:rPr>
          <w:rFonts w:ascii="Arial" w:hAnsi="Arial" w:cs="Arial"/>
          <w:szCs w:val="24"/>
        </w:rPr>
        <w:t>DAQ retains the right to review</w:t>
      </w:r>
      <w:r w:rsidR="00EB1FD5" w:rsidRPr="00082948">
        <w:rPr>
          <w:rFonts w:ascii="Arial" w:hAnsi="Arial" w:cs="Arial"/>
          <w:szCs w:val="24"/>
        </w:rPr>
        <w:t xml:space="preserve"> and </w:t>
      </w:r>
      <w:r w:rsidR="00444ADA" w:rsidRPr="00082948">
        <w:rPr>
          <w:rFonts w:ascii="Arial" w:hAnsi="Arial" w:cs="Arial"/>
          <w:szCs w:val="24"/>
        </w:rPr>
        <w:t>audit</w:t>
      </w:r>
      <w:r w:rsidRPr="00082948">
        <w:rPr>
          <w:rFonts w:ascii="Arial" w:hAnsi="Arial" w:cs="Arial"/>
          <w:szCs w:val="24"/>
        </w:rPr>
        <w:t xml:space="preserve"> vendor sale receipt</w:t>
      </w:r>
      <w:r w:rsidR="0095045E" w:rsidRPr="00082948">
        <w:rPr>
          <w:rFonts w:ascii="Arial" w:hAnsi="Arial" w:cs="Arial"/>
          <w:szCs w:val="24"/>
        </w:rPr>
        <w:t>s</w:t>
      </w:r>
      <w:r w:rsidRPr="00082948">
        <w:rPr>
          <w:rFonts w:ascii="Arial" w:hAnsi="Arial" w:cs="Arial"/>
          <w:szCs w:val="24"/>
        </w:rPr>
        <w:t xml:space="preserve"> for </w:t>
      </w:r>
      <w:r w:rsidR="00F03710">
        <w:rPr>
          <w:rFonts w:ascii="Arial" w:hAnsi="Arial" w:cs="Arial"/>
          <w:szCs w:val="24"/>
        </w:rPr>
        <w:t>appliances</w:t>
      </w:r>
      <w:r w:rsidRPr="00082948">
        <w:rPr>
          <w:rFonts w:ascii="Arial" w:hAnsi="Arial" w:cs="Arial"/>
          <w:szCs w:val="24"/>
        </w:rPr>
        <w:t xml:space="preserve"> sold </w:t>
      </w:r>
      <w:r w:rsidRPr="00082948">
        <w:rPr>
          <w:rFonts w:ascii="Arial" w:hAnsi="Arial" w:cs="Arial"/>
          <w:szCs w:val="24"/>
        </w:rPr>
        <w:lastRenderedPageBreak/>
        <w:t xml:space="preserve">under this program. </w:t>
      </w:r>
    </w:p>
    <w:p w:rsidR="00903C61" w:rsidRPr="00082948" w:rsidRDefault="00903C61" w:rsidP="00903C61">
      <w:pPr>
        <w:pStyle w:val="ListParagraph"/>
        <w:numPr>
          <w:ilvl w:val="0"/>
          <w:numId w:val="4"/>
        </w:numPr>
        <w:rPr>
          <w:rFonts w:ascii="Arial" w:hAnsi="Arial" w:cs="Arial"/>
          <w:szCs w:val="24"/>
        </w:rPr>
      </w:pPr>
      <w:r w:rsidRPr="00082948">
        <w:rPr>
          <w:rFonts w:ascii="Arial" w:hAnsi="Arial" w:cs="Arial"/>
          <w:szCs w:val="24"/>
        </w:rPr>
        <w:t xml:space="preserve">DAQ retains the right to terminate this agreement with any vendor that DAQ determines is not operating in good faith under this agreement, fails to meet agreement conditions, or whose behavior has otherwise been found to be detrimental to the </w:t>
      </w:r>
      <w:r w:rsidR="00444ADA" w:rsidRPr="00082948">
        <w:rPr>
          <w:rFonts w:ascii="Arial" w:hAnsi="Arial" w:cs="Arial"/>
          <w:szCs w:val="24"/>
        </w:rPr>
        <w:t xml:space="preserve">program. </w:t>
      </w:r>
    </w:p>
    <w:p w:rsidR="00444ADA" w:rsidRPr="00082948" w:rsidRDefault="00EB1FD5" w:rsidP="00903C61">
      <w:pPr>
        <w:pStyle w:val="ListParagraph"/>
        <w:numPr>
          <w:ilvl w:val="0"/>
          <w:numId w:val="4"/>
        </w:numPr>
        <w:rPr>
          <w:rFonts w:ascii="Arial" w:hAnsi="Arial" w:cs="Arial"/>
          <w:szCs w:val="24"/>
        </w:rPr>
      </w:pPr>
      <w:r w:rsidRPr="00082948">
        <w:rPr>
          <w:rFonts w:ascii="Arial" w:hAnsi="Arial" w:cs="Arial"/>
          <w:szCs w:val="24"/>
        </w:rPr>
        <w:t>A v</w:t>
      </w:r>
      <w:r w:rsidR="00444ADA" w:rsidRPr="00082948">
        <w:rPr>
          <w:rFonts w:ascii="Arial" w:hAnsi="Arial" w:cs="Arial"/>
          <w:szCs w:val="24"/>
        </w:rPr>
        <w:t xml:space="preserve">endor must confirm the identity of a homeowner who submits an award using government issued identification. Awards are not transferrable to other individuals. </w:t>
      </w:r>
      <w:r w:rsidRPr="00082948">
        <w:rPr>
          <w:rFonts w:ascii="Arial" w:hAnsi="Arial" w:cs="Arial"/>
          <w:szCs w:val="24"/>
        </w:rPr>
        <w:t>A v</w:t>
      </w:r>
      <w:r w:rsidR="00444ADA" w:rsidRPr="00082948">
        <w:rPr>
          <w:rFonts w:ascii="Arial" w:hAnsi="Arial" w:cs="Arial"/>
          <w:szCs w:val="24"/>
        </w:rPr>
        <w:t xml:space="preserve">endor may not enter into a sales transaction if an award is fraudulent as DAQ </w:t>
      </w:r>
      <w:r w:rsidR="00444ADA" w:rsidRPr="00082948">
        <w:rPr>
          <w:rFonts w:ascii="Arial" w:hAnsi="Arial" w:cs="Arial"/>
          <w:b/>
          <w:szCs w:val="24"/>
        </w:rPr>
        <w:t>will</w:t>
      </w:r>
      <w:r w:rsidRPr="00082948">
        <w:rPr>
          <w:rFonts w:ascii="Arial" w:hAnsi="Arial" w:cs="Arial"/>
          <w:b/>
          <w:szCs w:val="24"/>
        </w:rPr>
        <w:t xml:space="preserve"> </w:t>
      </w:r>
      <w:r w:rsidR="00444ADA" w:rsidRPr="00082948">
        <w:rPr>
          <w:rFonts w:ascii="Arial" w:hAnsi="Arial" w:cs="Arial"/>
          <w:b/>
          <w:szCs w:val="24"/>
        </w:rPr>
        <w:t>not honor the rebate</w:t>
      </w:r>
      <w:r w:rsidR="00444ADA" w:rsidRPr="00082948">
        <w:rPr>
          <w:rFonts w:ascii="Arial" w:hAnsi="Arial" w:cs="Arial"/>
          <w:szCs w:val="24"/>
        </w:rPr>
        <w:t xml:space="preserve">.  </w:t>
      </w:r>
      <w:r w:rsidRPr="00082948">
        <w:rPr>
          <w:rFonts w:ascii="Arial" w:hAnsi="Arial" w:cs="Arial"/>
          <w:szCs w:val="24"/>
        </w:rPr>
        <w:t>A v</w:t>
      </w:r>
      <w:r w:rsidR="00631044" w:rsidRPr="00082948">
        <w:rPr>
          <w:rFonts w:ascii="Arial" w:hAnsi="Arial" w:cs="Arial"/>
          <w:szCs w:val="24"/>
        </w:rPr>
        <w:t xml:space="preserve">endor </w:t>
      </w:r>
      <w:r w:rsidR="00444ADA" w:rsidRPr="00082948">
        <w:rPr>
          <w:rFonts w:ascii="Arial" w:hAnsi="Arial" w:cs="Arial"/>
          <w:szCs w:val="24"/>
        </w:rPr>
        <w:t>must notify DAQ immediately if fraud is suspected</w:t>
      </w:r>
      <w:r w:rsidR="00631044" w:rsidRPr="00082948">
        <w:rPr>
          <w:rFonts w:ascii="Arial" w:hAnsi="Arial" w:cs="Arial"/>
          <w:szCs w:val="24"/>
        </w:rPr>
        <w:t xml:space="preserve">. </w:t>
      </w:r>
    </w:p>
    <w:p w:rsidR="008D35DD" w:rsidRPr="00082948" w:rsidRDefault="00DF0454" w:rsidP="008D35DD">
      <w:pPr>
        <w:pStyle w:val="ListParagraph"/>
        <w:numPr>
          <w:ilvl w:val="0"/>
          <w:numId w:val="4"/>
        </w:numPr>
        <w:rPr>
          <w:rFonts w:ascii="Arial" w:hAnsi="Arial" w:cs="Arial"/>
          <w:szCs w:val="24"/>
        </w:rPr>
      </w:pPr>
      <w:r w:rsidRPr="00082948">
        <w:rPr>
          <w:rFonts w:ascii="Arial" w:hAnsi="Arial" w:cs="Arial"/>
          <w:szCs w:val="24"/>
        </w:rPr>
        <w:t>Retail v</w:t>
      </w:r>
      <w:r w:rsidR="0095045E" w:rsidRPr="00082948">
        <w:rPr>
          <w:rFonts w:ascii="Arial" w:hAnsi="Arial" w:cs="Arial"/>
          <w:szCs w:val="24"/>
        </w:rPr>
        <w:t xml:space="preserve">endors </w:t>
      </w:r>
      <w:r w:rsidR="00573A1E">
        <w:rPr>
          <w:rFonts w:ascii="Arial" w:hAnsi="Arial" w:cs="Arial"/>
          <w:szCs w:val="24"/>
        </w:rPr>
        <w:t xml:space="preserve">who have engaged in a </w:t>
      </w:r>
      <w:r w:rsidRPr="00082948">
        <w:rPr>
          <w:rFonts w:ascii="Arial" w:hAnsi="Arial" w:cs="Arial"/>
          <w:szCs w:val="24"/>
        </w:rPr>
        <w:t xml:space="preserve">Tier 1 and 2 </w:t>
      </w:r>
      <w:proofErr w:type="gramStart"/>
      <w:r w:rsidR="00573A1E">
        <w:rPr>
          <w:rFonts w:ascii="Arial" w:hAnsi="Arial" w:cs="Arial"/>
          <w:szCs w:val="24"/>
        </w:rPr>
        <w:t>transaction</w:t>
      </w:r>
      <w:proofErr w:type="gramEnd"/>
      <w:r w:rsidR="00573A1E">
        <w:rPr>
          <w:rFonts w:ascii="Arial" w:hAnsi="Arial" w:cs="Arial"/>
          <w:szCs w:val="24"/>
        </w:rPr>
        <w:t xml:space="preserve"> </w:t>
      </w:r>
      <w:r w:rsidR="0095045E" w:rsidRPr="00082948">
        <w:rPr>
          <w:rFonts w:ascii="Arial" w:hAnsi="Arial" w:cs="Arial"/>
          <w:szCs w:val="24"/>
        </w:rPr>
        <w:t xml:space="preserve">must submit the rebate for reimbursement within 30 days of the sale transaction. </w:t>
      </w:r>
      <w:r w:rsidR="000524FC" w:rsidRPr="00082948">
        <w:rPr>
          <w:rFonts w:ascii="Arial" w:hAnsi="Arial" w:cs="Arial"/>
          <w:szCs w:val="24"/>
        </w:rPr>
        <w:t>Completed and signed program forms and sales receipt must be submitted to DAQ to receive reimbursement.</w:t>
      </w:r>
    </w:p>
    <w:p w:rsidR="006E2925" w:rsidRPr="00082948" w:rsidRDefault="00F03710" w:rsidP="008D35DD">
      <w:pPr>
        <w:pStyle w:val="ListParagraph"/>
        <w:numPr>
          <w:ilvl w:val="0"/>
          <w:numId w:val="4"/>
        </w:numPr>
        <w:rPr>
          <w:rFonts w:ascii="Arial" w:hAnsi="Arial" w:cs="Arial"/>
          <w:szCs w:val="24"/>
        </w:rPr>
      </w:pPr>
      <w:r>
        <w:rPr>
          <w:rFonts w:ascii="Arial" w:hAnsi="Arial" w:cs="Arial"/>
          <w:szCs w:val="24"/>
        </w:rPr>
        <w:t xml:space="preserve">Appliance </w:t>
      </w:r>
      <w:r w:rsidR="006E2925" w:rsidRPr="00082948">
        <w:rPr>
          <w:rFonts w:ascii="Arial" w:hAnsi="Arial" w:cs="Arial"/>
          <w:szCs w:val="24"/>
        </w:rPr>
        <w:t xml:space="preserve">installations shall be conducted in accordance with all state and local ordinances. It is the sole responsibility of the </w:t>
      </w:r>
      <w:r w:rsidR="00EB1FD5" w:rsidRPr="00082948">
        <w:rPr>
          <w:rFonts w:ascii="Arial" w:hAnsi="Arial" w:cs="Arial"/>
          <w:szCs w:val="24"/>
        </w:rPr>
        <w:t>v</w:t>
      </w:r>
      <w:r w:rsidR="006E2925" w:rsidRPr="00082948">
        <w:rPr>
          <w:rFonts w:ascii="Arial" w:hAnsi="Arial" w:cs="Arial"/>
          <w:szCs w:val="24"/>
        </w:rPr>
        <w:t xml:space="preserve">endor to meet all installation </w:t>
      </w:r>
      <w:r w:rsidR="00DA1E05" w:rsidRPr="00082948">
        <w:rPr>
          <w:rFonts w:ascii="Arial" w:hAnsi="Arial" w:cs="Arial"/>
          <w:szCs w:val="24"/>
        </w:rPr>
        <w:t>requirements</w:t>
      </w:r>
      <w:r w:rsidR="006E2925" w:rsidRPr="00082948">
        <w:rPr>
          <w:rFonts w:ascii="Arial" w:hAnsi="Arial" w:cs="Arial"/>
          <w:szCs w:val="24"/>
        </w:rPr>
        <w:t>.</w:t>
      </w:r>
    </w:p>
    <w:p w:rsidR="00007CCC" w:rsidRPr="00082948" w:rsidRDefault="00007CCC" w:rsidP="00007CCC">
      <w:pPr>
        <w:pStyle w:val="ListParagraph"/>
        <w:numPr>
          <w:ilvl w:val="0"/>
          <w:numId w:val="4"/>
        </w:numPr>
        <w:rPr>
          <w:rFonts w:ascii="Arial" w:hAnsi="Arial" w:cs="Arial"/>
          <w:szCs w:val="24"/>
        </w:rPr>
      </w:pPr>
      <w:r w:rsidRPr="00082948">
        <w:rPr>
          <w:rFonts w:ascii="Arial" w:hAnsi="Arial" w:cs="Arial"/>
          <w:szCs w:val="24"/>
        </w:rPr>
        <w:t xml:space="preserve">The rebate awards for Tiers 1 and 2 </w:t>
      </w:r>
      <w:r w:rsidRPr="00082948">
        <w:rPr>
          <w:rFonts w:ascii="Arial" w:hAnsi="Arial" w:cs="Arial"/>
          <w:b/>
          <w:szCs w:val="24"/>
        </w:rPr>
        <w:t xml:space="preserve">may </w:t>
      </w:r>
      <w:r w:rsidR="007166B3" w:rsidRPr="00082948">
        <w:rPr>
          <w:rFonts w:ascii="Arial" w:hAnsi="Arial" w:cs="Arial"/>
          <w:b/>
          <w:szCs w:val="24"/>
        </w:rPr>
        <w:t xml:space="preserve">be equal to, but </w:t>
      </w:r>
      <w:r w:rsidRPr="00082948">
        <w:rPr>
          <w:rFonts w:ascii="Arial" w:hAnsi="Arial" w:cs="Arial"/>
          <w:b/>
          <w:szCs w:val="24"/>
        </w:rPr>
        <w:t xml:space="preserve">not exceed the cost of a new </w:t>
      </w:r>
      <w:r w:rsidR="00F03710">
        <w:rPr>
          <w:rFonts w:ascii="Arial" w:hAnsi="Arial" w:cs="Arial"/>
          <w:b/>
          <w:szCs w:val="24"/>
        </w:rPr>
        <w:t xml:space="preserve">appliance </w:t>
      </w:r>
      <w:r w:rsidR="00441527" w:rsidRPr="00082948">
        <w:rPr>
          <w:rFonts w:ascii="Arial" w:hAnsi="Arial" w:cs="Arial"/>
          <w:b/>
          <w:szCs w:val="24"/>
        </w:rPr>
        <w:t>and installation</w:t>
      </w:r>
      <w:r w:rsidRPr="00082948">
        <w:rPr>
          <w:rFonts w:ascii="Arial" w:hAnsi="Arial" w:cs="Arial"/>
          <w:szCs w:val="24"/>
        </w:rPr>
        <w:t xml:space="preserve">.  </w:t>
      </w:r>
    </w:p>
    <w:p w:rsidR="00007CCC" w:rsidRPr="00082948" w:rsidRDefault="00007CCC" w:rsidP="00007CCC">
      <w:pPr>
        <w:pStyle w:val="ListParagraph"/>
        <w:numPr>
          <w:ilvl w:val="0"/>
          <w:numId w:val="4"/>
        </w:numPr>
        <w:rPr>
          <w:rFonts w:ascii="Arial" w:hAnsi="Arial" w:cs="Arial"/>
          <w:szCs w:val="24"/>
        </w:rPr>
      </w:pPr>
      <w:r w:rsidRPr="00082948">
        <w:rPr>
          <w:rFonts w:ascii="Arial" w:hAnsi="Arial" w:cs="Arial"/>
          <w:szCs w:val="24"/>
        </w:rPr>
        <w:t>Fireplace retrofits under Tier 1 must be of a design that would prohibit the co-burning of gas and wood.</w:t>
      </w:r>
    </w:p>
    <w:p w:rsidR="00C54A38" w:rsidRPr="00082948" w:rsidRDefault="00C54A38" w:rsidP="00007CCC">
      <w:pPr>
        <w:pStyle w:val="ListParagraph"/>
        <w:numPr>
          <w:ilvl w:val="0"/>
          <w:numId w:val="4"/>
        </w:numPr>
        <w:rPr>
          <w:rFonts w:ascii="Arial" w:hAnsi="Arial" w:cs="Arial"/>
          <w:szCs w:val="24"/>
        </w:rPr>
      </w:pPr>
      <w:r w:rsidRPr="00082948">
        <w:rPr>
          <w:rFonts w:ascii="Arial" w:hAnsi="Arial" w:cs="Arial"/>
          <w:szCs w:val="24"/>
        </w:rPr>
        <w:t xml:space="preserve">Vendors </w:t>
      </w:r>
      <w:r w:rsidR="00627675">
        <w:rPr>
          <w:rFonts w:ascii="Arial" w:hAnsi="Arial" w:cs="Arial"/>
          <w:szCs w:val="24"/>
        </w:rPr>
        <w:t>must</w:t>
      </w:r>
      <w:r w:rsidRPr="00082948">
        <w:rPr>
          <w:rFonts w:ascii="Arial" w:hAnsi="Arial" w:cs="Arial"/>
          <w:szCs w:val="24"/>
        </w:rPr>
        <w:t xml:space="preserve"> provide evidence of current insurance. </w:t>
      </w:r>
    </w:p>
    <w:p w:rsidR="00007CCC" w:rsidRPr="00082948" w:rsidRDefault="006B67FD" w:rsidP="00007CCC">
      <w:pPr>
        <w:pStyle w:val="ListParagraph"/>
        <w:numPr>
          <w:ilvl w:val="0"/>
          <w:numId w:val="4"/>
        </w:numPr>
        <w:rPr>
          <w:rFonts w:ascii="Arial" w:hAnsi="Arial" w:cs="Arial"/>
          <w:szCs w:val="24"/>
        </w:rPr>
      </w:pPr>
      <w:r w:rsidRPr="00082948">
        <w:rPr>
          <w:rFonts w:ascii="Arial" w:hAnsi="Arial" w:cs="Arial"/>
          <w:szCs w:val="24"/>
        </w:rPr>
        <w:t xml:space="preserve">Vendors are encouraged to hand out to consumers of wood stoves EPA Burn wise </w:t>
      </w:r>
      <w:r w:rsidR="00935185" w:rsidRPr="00082948">
        <w:rPr>
          <w:rFonts w:ascii="Arial" w:hAnsi="Arial" w:cs="Arial"/>
          <w:szCs w:val="24"/>
        </w:rPr>
        <w:t xml:space="preserve">literature </w:t>
      </w:r>
      <w:r w:rsidRPr="00082948">
        <w:rPr>
          <w:rFonts w:ascii="Arial" w:hAnsi="Arial" w:cs="Arial"/>
          <w:szCs w:val="24"/>
        </w:rPr>
        <w:t xml:space="preserve">and any DAQ </w:t>
      </w:r>
      <w:r w:rsidR="00935185" w:rsidRPr="00082948">
        <w:rPr>
          <w:rFonts w:ascii="Arial" w:hAnsi="Arial" w:cs="Arial"/>
          <w:szCs w:val="24"/>
        </w:rPr>
        <w:t xml:space="preserve">sponsored </w:t>
      </w:r>
      <w:r w:rsidRPr="00082948">
        <w:rPr>
          <w:rFonts w:ascii="Arial" w:hAnsi="Arial" w:cs="Arial"/>
          <w:szCs w:val="24"/>
        </w:rPr>
        <w:t>literature provided to the vendor.</w:t>
      </w:r>
    </w:p>
    <w:p w:rsidR="00F03710" w:rsidRDefault="00F02700" w:rsidP="00007CCC">
      <w:pPr>
        <w:pStyle w:val="ListParagraph"/>
        <w:numPr>
          <w:ilvl w:val="0"/>
          <w:numId w:val="4"/>
        </w:numPr>
        <w:rPr>
          <w:rFonts w:ascii="Arial" w:hAnsi="Arial" w:cs="Arial"/>
          <w:szCs w:val="24"/>
        </w:rPr>
      </w:pPr>
      <w:r w:rsidRPr="00082948">
        <w:rPr>
          <w:rFonts w:ascii="Arial" w:hAnsi="Arial" w:cs="Arial"/>
          <w:szCs w:val="24"/>
        </w:rPr>
        <w:t xml:space="preserve">Vendors must return the scrap metal income to DAQ for all wood stoves surrendered by participants. </w:t>
      </w:r>
    </w:p>
    <w:p w:rsidR="00F03710" w:rsidRDefault="00F03710" w:rsidP="00F03710">
      <w:pPr>
        <w:pStyle w:val="ListParagraph"/>
        <w:numPr>
          <w:ilvl w:val="1"/>
          <w:numId w:val="4"/>
        </w:numPr>
        <w:rPr>
          <w:rFonts w:ascii="Arial" w:hAnsi="Arial" w:cs="Arial"/>
          <w:szCs w:val="24"/>
        </w:rPr>
      </w:pPr>
      <w:r>
        <w:rPr>
          <w:rFonts w:ascii="Arial" w:hAnsi="Arial" w:cs="Arial"/>
          <w:szCs w:val="24"/>
        </w:rPr>
        <w:t xml:space="preserve">Retail vendors who have engaged in a Tier 1 or Tier 2 transaction </w:t>
      </w:r>
      <w:r w:rsidR="00F02700" w:rsidRPr="00082948">
        <w:rPr>
          <w:rFonts w:ascii="Arial" w:hAnsi="Arial" w:cs="Arial"/>
          <w:szCs w:val="24"/>
        </w:rPr>
        <w:t xml:space="preserve">shall issue a </w:t>
      </w:r>
      <w:r>
        <w:rPr>
          <w:rFonts w:ascii="Arial" w:hAnsi="Arial" w:cs="Arial"/>
          <w:szCs w:val="24"/>
        </w:rPr>
        <w:t xml:space="preserve">credit for the scrap value on their rebate invoice. </w:t>
      </w:r>
    </w:p>
    <w:p w:rsidR="00F02700" w:rsidRPr="00082948" w:rsidRDefault="00F03710" w:rsidP="00F03710">
      <w:pPr>
        <w:pStyle w:val="ListParagraph"/>
        <w:numPr>
          <w:ilvl w:val="1"/>
          <w:numId w:val="4"/>
        </w:numPr>
        <w:rPr>
          <w:rFonts w:ascii="Arial" w:hAnsi="Arial" w:cs="Arial"/>
          <w:szCs w:val="24"/>
        </w:rPr>
      </w:pPr>
      <w:r>
        <w:rPr>
          <w:rFonts w:ascii="Arial" w:hAnsi="Arial" w:cs="Arial"/>
          <w:szCs w:val="24"/>
        </w:rPr>
        <w:t xml:space="preserve">Tier 3 vendors shall issue a </w:t>
      </w:r>
      <w:r w:rsidR="00F02700" w:rsidRPr="00082948">
        <w:rPr>
          <w:rFonts w:ascii="Arial" w:hAnsi="Arial" w:cs="Arial"/>
          <w:szCs w:val="24"/>
        </w:rPr>
        <w:t>check on a monthly basis to DAQ Finance for the monthly total income from the scrap metal</w:t>
      </w:r>
      <w:r>
        <w:rPr>
          <w:rFonts w:ascii="Arial" w:hAnsi="Arial" w:cs="Arial"/>
          <w:szCs w:val="24"/>
        </w:rPr>
        <w:t xml:space="preserve"> and identify the number of appliance that were recycled. The check shall be sent to: Joel </w:t>
      </w:r>
      <w:proofErr w:type="spellStart"/>
      <w:r>
        <w:rPr>
          <w:rFonts w:ascii="Arial" w:hAnsi="Arial" w:cs="Arial"/>
          <w:szCs w:val="24"/>
        </w:rPr>
        <w:t>Karmazyn</w:t>
      </w:r>
      <w:proofErr w:type="spellEnd"/>
      <w:r>
        <w:rPr>
          <w:rFonts w:ascii="Arial" w:hAnsi="Arial" w:cs="Arial"/>
          <w:szCs w:val="24"/>
        </w:rPr>
        <w:t xml:space="preserve">, DAQ, P.O. Box 144820, </w:t>
      </w:r>
      <w:proofErr w:type="gramStart"/>
      <w:r>
        <w:rPr>
          <w:rFonts w:ascii="Arial" w:hAnsi="Arial" w:cs="Arial"/>
          <w:szCs w:val="24"/>
        </w:rPr>
        <w:t>195</w:t>
      </w:r>
      <w:proofErr w:type="gramEnd"/>
      <w:r>
        <w:rPr>
          <w:rFonts w:ascii="Arial" w:hAnsi="Arial" w:cs="Arial"/>
          <w:szCs w:val="24"/>
        </w:rPr>
        <w:t xml:space="preserve"> North 1950 West, SLC, UT 84114-4820.</w:t>
      </w:r>
      <w:r w:rsidR="00F02700" w:rsidRPr="00082948">
        <w:rPr>
          <w:rFonts w:ascii="Arial" w:hAnsi="Arial" w:cs="Arial"/>
          <w:szCs w:val="24"/>
        </w:rPr>
        <w:t xml:space="preserve"> </w:t>
      </w:r>
    </w:p>
    <w:p w:rsidR="0095045E" w:rsidRPr="00082948" w:rsidRDefault="008D35DD" w:rsidP="008D35DD">
      <w:pPr>
        <w:pStyle w:val="Heading1"/>
        <w:rPr>
          <w:color w:val="auto"/>
        </w:rPr>
      </w:pPr>
      <w:proofErr w:type="gramStart"/>
      <w:r w:rsidRPr="00082948">
        <w:rPr>
          <w:color w:val="auto"/>
        </w:rPr>
        <w:t>Section 4.</w:t>
      </w:r>
      <w:proofErr w:type="gramEnd"/>
      <w:r w:rsidRPr="00082948">
        <w:rPr>
          <w:color w:val="auto"/>
        </w:rPr>
        <w:t xml:space="preserve">  Agreement Relationship</w:t>
      </w:r>
    </w:p>
    <w:p w:rsidR="00DC34E6" w:rsidRPr="00082948" w:rsidRDefault="00DC34E6" w:rsidP="00152204">
      <w:pPr>
        <w:rPr>
          <w:rFonts w:ascii="Arial" w:hAnsi="Arial" w:cs="Arial"/>
          <w:szCs w:val="24"/>
        </w:rPr>
      </w:pPr>
    </w:p>
    <w:p w:rsidR="008D35DD" w:rsidRPr="00082948" w:rsidRDefault="008D35DD" w:rsidP="008D35DD">
      <w:pPr>
        <w:rPr>
          <w:rFonts w:ascii="Arial" w:hAnsi="Arial" w:cs="Arial"/>
          <w:szCs w:val="24"/>
        </w:rPr>
      </w:pPr>
      <w:r w:rsidRPr="00082948">
        <w:rPr>
          <w:rFonts w:ascii="Arial" w:hAnsi="Arial" w:cs="Arial"/>
          <w:szCs w:val="24"/>
        </w:rPr>
        <w:t xml:space="preserve">It is agreed that DAQ is </w:t>
      </w:r>
      <w:r w:rsidR="00D723E9" w:rsidRPr="00082948">
        <w:rPr>
          <w:rFonts w:ascii="Arial" w:hAnsi="Arial" w:cs="Arial"/>
          <w:szCs w:val="24"/>
        </w:rPr>
        <w:t xml:space="preserve">not liable and does not warranty </w:t>
      </w:r>
      <w:r w:rsidRPr="00082948">
        <w:rPr>
          <w:rFonts w:ascii="Arial" w:hAnsi="Arial" w:cs="Arial"/>
          <w:szCs w:val="24"/>
        </w:rPr>
        <w:t>the performance of</w:t>
      </w:r>
      <w:r w:rsidR="00D723E9" w:rsidRPr="00082948">
        <w:rPr>
          <w:rFonts w:ascii="Arial" w:hAnsi="Arial" w:cs="Arial"/>
          <w:szCs w:val="24"/>
        </w:rPr>
        <w:t xml:space="preserve"> </w:t>
      </w:r>
      <w:r w:rsidRPr="00082948">
        <w:rPr>
          <w:rFonts w:ascii="Arial" w:hAnsi="Arial" w:cs="Arial"/>
          <w:szCs w:val="24"/>
        </w:rPr>
        <w:t xml:space="preserve">any service </w:t>
      </w:r>
      <w:r w:rsidR="00D723E9" w:rsidRPr="00082948">
        <w:rPr>
          <w:rFonts w:ascii="Arial" w:hAnsi="Arial" w:cs="Arial"/>
          <w:szCs w:val="24"/>
        </w:rPr>
        <w:t xml:space="preserve">by </w:t>
      </w:r>
      <w:r w:rsidRPr="00082948">
        <w:rPr>
          <w:rFonts w:ascii="Arial" w:hAnsi="Arial" w:cs="Arial"/>
          <w:szCs w:val="24"/>
        </w:rPr>
        <w:t xml:space="preserve">the </w:t>
      </w:r>
      <w:r w:rsidR="00935185" w:rsidRPr="00082948">
        <w:rPr>
          <w:rFonts w:ascii="Arial" w:hAnsi="Arial" w:cs="Arial"/>
          <w:szCs w:val="24"/>
        </w:rPr>
        <w:t>v</w:t>
      </w:r>
      <w:r w:rsidRPr="00082948">
        <w:rPr>
          <w:rFonts w:ascii="Arial" w:hAnsi="Arial" w:cs="Arial"/>
          <w:szCs w:val="24"/>
        </w:rPr>
        <w:t>endor</w:t>
      </w:r>
      <w:r w:rsidR="00D723E9" w:rsidRPr="00082948">
        <w:rPr>
          <w:rFonts w:ascii="Arial" w:hAnsi="Arial" w:cs="Arial"/>
          <w:szCs w:val="24"/>
        </w:rPr>
        <w:t>. DAQ is not responsible for the vendor’s</w:t>
      </w:r>
      <w:r w:rsidRPr="00082948">
        <w:rPr>
          <w:rFonts w:ascii="Arial" w:hAnsi="Arial" w:cs="Arial"/>
          <w:szCs w:val="24"/>
        </w:rPr>
        <w:t xml:space="preserve"> employees hiring, or the </w:t>
      </w:r>
      <w:r w:rsidR="00D723E9" w:rsidRPr="00082948">
        <w:rPr>
          <w:rFonts w:ascii="Arial" w:hAnsi="Arial" w:cs="Arial"/>
          <w:szCs w:val="24"/>
        </w:rPr>
        <w:t>v</w:t>
      </w:r>
      <w:r w:rsidRPr="00082948">
        <w:rPr>
          <w:rFonts w:ascii="Arial" w:hAnsi="Arial" w:cs="Arial"/>
          <w:szCs w:val="24"/>
        </w:rPr>
        <w:t>endor</w:t>
      </w:r>
      <w:r w:rsidR="00D723E9" w:rsidRPr="00082948">
        <w:rPr>
          <w:rFonts w:ascii="Arial" w:hAnsi="Arial" w:cs="Arial"/>
          <w:szCs w:val="24"/>
        </w:rPr>
        <w:t>’</w:t>
      </w:r>
      <w:r w:rsidRPr="00082948">
        <w:rPr>
          <w:rFonts w:ascii="Arial" w:hAnsi="Arial" w:cs="Arial"/>
          <w:szCs w:val="24"/>
        </w:rPr>
        <w:t>s incurred expenses</w:t>
      </w:r>
      <w:r w:rsidR="00D723E9" w:rsidRPr="00082948">
        <w:rPr>
          <w:rFonts w:ascii="Arial" w:hAnsi="Arial" w:cs="Arial"/>
          <w:szCs w:val="24"/>
        </w:rPr>
        <w:t>.</w:t>
      </w:r>
      <w:r w:rsidRPr="00082948">
        <w:rPr>
          <w:rFonts w:ascii="Arial" w:hAnsi="Arial" w:cs="Arial"/>
          <w:szCs w:val="24"/>
        </w:rPr>
        <w:t xml:space="preserve">  Vendors are</w:t>
      </w:r>
      <w:r w:rsidR="00D723E9" w:rsidRPr="00082948">
        <w:rPr>
          <w:rFonts w:ascii="Arial" w:hAnsi="Arial" w:cs="Arial"/>
          <w:szCs w:val="24"/>
        </w:rPr>
        <w:t xml:space="preserve"> fully responsible for </w:t>
      </w:r>
      <w:r w:rsidR="00FC013D" w:rsidRPr="00082948">
        <w:rPr>
          <w:rFonts w:ascii="Arial" w:hAnsi="Arial" w:cs="Arial"/>
          <w:szCs w:val="24"/>
        </w:rPr>
        <w:t>the performance</w:t>
      </w:r>
      <w:r w:rsidRPr="00082948">
        <w:rPr>
          <w:rFonts w:ascii="Arial" w:hAnsi="Arial" w:cs="Arial"/>
          <w:szCs w:val="24"/>
        </w:rPr>
        <w:t xml:space="preserve"> of </w:t>
      </w:r>
      <w:r w:rsidR="00D723E9" w:rsidRPr="00082948">
        <w:rPr>
          <w:rFonts w:ascii="Arial" w:hAnsi="Arial" w:cs="Arial"/>
          <w:szCs w:val="24"/>
        </w:rPr>
        <w:t>e</w:t>
      </w:r>
      <w:r w:rsidRPr="00082948">
        <w:rPr>
          <w:rFonts w:ascii="Arial" w:hAnsi="Arial" w:cs="Arial"/>
          <w:szCs w:val="24"/>
        </w:rPr>
        <w:t xml:space="preserve">very part of the </w:t>
      </w:r>
      <w:r w:rsidR="00D723E9" w:rsidRPr="00082948">
        <w:rPr>
          <w:rFonts w:ascii="Arial" w:hAnsi="Arial" w:cs="Arial"/>
          <w:szCs w:val="24"/>
        </w:rPr>
        <w:t xml:space="preserve">service </w:t>
      </w:r>
      <w:r w:rsidRPr="00082948">
        <w:rPr>
          <w:rFonts w:ascii="Arial" w:hAnsi="Arial" w:cs="Arial"/>
          <w:szCs w:val="24"/>
        </w:rPr>
        <w:t xml:space="preserve">agreement </w:t>
      </w:r>
      <w:r w:rsidR="00D723E9" w:rsidRPr="00082948">
        <w:rPr>
          <w:rFonts w:ascii="Arial" w:hAnsi="Arial" w:cs="Arial"/>
          <w:szCs w:val="24"/>
        </w:rPr>
        <w:t xml:space="preserve">with homeowners </w:t>
      </w:r>
      <w:r w:rsidRPr="00082948">
        <w:rPr>
          <w:rFonts w:ascii="Arial" w:hAnsi="Arial" w:cs="Arial"/>
          <w:szCs w:val="24"/>
        </w:rPr>
        <w:t>and solely</w:t>
      </w:r>
      <w:r w:rsidR="00D723E9" w:rsidRPr="00082948">
        <w:rPr>
          <w:rFonts w:ascii="Arial" w:hAnsi="Arial" w:cs="Arial"/>
          <w:szCs w:val="24"/>
        </w:rPr>
        <w:t xml:space="preserve"> responsible</w:t>
      </w:r>
      <w:r w:rsidRPr="00082948">
        <w:rPr>
          <w:rFonts w:ascii="Arial" w:hAnsi="Arial" w:cs="Arial"/>
          <w:szCs w:val="24"/>
        </w:rPr>
        <w:t xml:space="preserve"> for all labor, taxes, insurance, required bonding, and other expenses.</w:t>
      </w:r>
    </w:p>
    <w:p w:rsidR="008D35DD" w:rsidRPr="00082948" w:rsidRDefault="008D35DD" w:rsidP="008D35DD">
      <w:pPr>
        <w:rPr>
          <w:rFonts w:ascii="Arial" w:hAnsi="Arial" w:cs="Arial"/>
          <w:szCs w:val="24"/>
        </w:rPr>
      </w:pPr>
    </w:p>
    <w:p w:rsidR="000857A3" w:rsidRPr="00082948" w:rsidRDefault="008D35DD" w:rsidP="008D35DD">
      <w:pPr>
        <w:rPr>
          <w:rFonts w:ascii="Arial" w:hAnsi="Arial" w:cs="Arial"/>
          <w:szCs w:val="24"/>
        </w:rPr>
      </w:pPr>
      <w:r w:rsidRPr="00082948">
        <w:rPr>
          <w:rFonts w:ascii="Arial" w:hAnsi="Arial" w:cs="Arial"/>
          <w:szCs w:val="24"/>
        </w:rPr>
        <w:t>Vendors are solely liable for all damages in</w:t>
      </w:r>
      <w:r w:rsidR="000857A3" w:rsidRPr="00082948">
        <w:rPr>
          <w:rFonts w:ascii="Arial" w:hAnsi="Arial" w:cs="Arial"/>
          <w:szCs w:val="24"/>
        </w:rPr>
        <w:t xml:space="preserve"> </w:t>
      </w:r>
      <w:r w:rsidRPr="00082948">
        <w:rPr>
          <w:rFonts w:ascii="Arial" w:hAnsi="Arial" w:cs="Arial"/>
          <w:szCs w:val="24"/>
        </w:rPr>
        <w:t>conne</w:t>
      </w:r>
      <w:r w:rsidR="000857A3" w:rsidRPr="00082948">
        <w:rPr>
          <w:rFonts w:ascii="Arial" w:hAnsi="Arial" w:cs="Arial"/>
          <w:szCs w:val="24"/>
        </w:rPr>
        <w:t xml:space="preserve">ction with the operation of this </w:t>
      </w:r>
      <w:r w:rsidRPr="00082948">
        <w:rPr>
          <w:rFonts w:ascii="Arial" w:hAnsi="Arial" w:cs="Arial"/>
          <w:szCs w:val="24"/>
        </w:rPr>
        <w:t>agreement, whether for personal injuries or damages of any</w:t>
      </w:r>
      <w:r w:rsidR="000857A3" w:rsidRPr="00082948">
        <w:rPr>
          <w:rFonts w:ascii="Arial" w:hAnsi="Arial" w:cs="Arial"/>
          <w:szCs w:val="24"/>
        </w:rPr>
        <w:t xml:space="preserve"> </w:t>
      </w:r>
      <w:r w:rsidRPr="00082948">
        <w:rPr>
          <w:rFonts w:ascii="Arial" w:hAnsi="Arial" w:cs="Arial"/>
          <w:szCs w:val="24"/>
        </w:rPr>
        <w:t xml:space="preserve">other kind. Vendors shall exonerate, defend, indemnify, and hold </w:t>
      </w:r>
      <w:r w:rsidR="000857A3" w:rsidRPr="00082948">
        <w:rPr>
          <w:rFonts w:ascii="Arial" w:hAnsi="Arial" w:cs="Arial"/>
          <w:szCs w:val="24"/>
        </w:rPr>
        <w:t xml:space="preserve">DAQ and all its agents, employees, and officers </w:t>
      </w:r>
      <w:r w:rsidR="004E0AFF">
        <w:rPr>
          <w:rFonts w:ascii="Arial" w:hAnsi="Arial" w:cs="Arial"/>
          <w:szCs w:val="24"/>
        </w:rPr>
        <w:t xml:space="preserve">harmless </w:t>
      </w:r>
      <w:bookmarkStart w:id="0" w:name="_GoBack"/>
      <w:bookmarkEnd w:id="0"/>
      <w:r w:rsidR="00935185" w:rsidRPr="00082948">
        <w:rPr>
          <w:rFonts w:ascii="Arial" w:hAnsi="Arial" w:cs="Arial"/>
          <w:szCs w:val="24"/>
        </w:rPr>
        <w:t>f</w:t>
      </w:r>
      <w:r w:rsidR="000857A3" w:rsidRPr="00082948">
        <w:rPr>
          <w:rFonts w:ascii="Arial" w:hAnsi="Arial" w:cs="Arial"/>
          <w:szCs w:val="24"/>
        </w:rPr>
        <w:t>rom any and all liability, claims, damages, costs, expenses, losses, suits, and actions, including reasonable attorney fees, caused by or that arise from the negligent or wrongful acts or omissions under this agreement that cause death or injury or damage to property or arising out of a failure to comply with any state or federal statute, law, regulation or act.</w:t>
      </w:r>
    </w:p>
    <w:p w:rsidR="000857A3" w:rsidRPr="00082948" w:rsidRDefault="000857A3" w:rsidP="008D35DD">
      <w:pPr>
        <w:rPr>
          <w:rFonts w:ascii="Arial" w:hAnsi="Arial" w:cs="Arial"/>
          <w:szCs w:val="24"/>
        </w:rPr>
      </w:pPr>
    </w:p>
    <w:p w:rsidR="008D35DD" w:rsidRPr="00082948" w:rsidRDefault="000857A3" w:rsidP="00B04E6C">
      <w:pPr>
        <w:rPr>
          <w:rFonts w:ascii="Arial" w:hAnsi="Arial" w:cs="Arial"/>
          <w:szCs w:val="24"/>
        </w:rPr>
      </w:pPr>
      <w:r w:rsidRPr="00082948">
        <w:rPr>
          <w:rFonts w:ascii="Arial" w:hAnsi="Arial" w:cs="Arial"/>
          <w:szCs w:val="24"/>
        </w:rPr>
        <w:t xml:space="preserve">Vendors </w:t>
      </w:r>
      <w:r w:rsidR="00627675">
        <w:rPr>
          <w:rFonts w:ascii="Arial" w:hAnsi="Arial" w:cs="Arial"/>
          <w:szCs w:val="24"/>
        </w:rPr>
        <w:t xml:space="preserve">must </w:t>
      </w:r>
      <w:r w:rsidRPr="00082948">
        <w:rPr>
          <w:rFonts w:ascii="Arial" w:hAnsi="Arial" w:cs="Arial"/>
          <w:szCs w:val="24"/>
        </w:rPr>
        <w:t xml:space="preserve">also exonerate, defend, indemnify, and hold DAQ and all its agents, employees, and officers </w:t>
      </w:r>
      <w:r w:rsidR="008D35DD" w:rsidRPr="00082948">
        <w:rPr>
          <w:rFonts w:ascii="Arial" w:hAnsi="Arial" w:cs="Arial"/>
          <w:szCs w:val="24"/>
        </w:rPr>
        <w:t>harmless from and against and assume full responsibility for payment of all federal, state, and</w:t>
      </w:r>
      <w:r w:rsidR="00935185" w:rsidRPr="00082948">
        <w:rPr>
          <w:rFonts w:ascii="Arial" w:hAnsi="Arial" w:cs="Arial"/>
          <w:szCs w:val="24"/>
        </w:rPr>
        <w:t xml:space="preserve"> </w:t>
      </w:r>
      <w:r w:rsidR="008D35DD" w:rsidRPr="00082948">
        <w:rPr>
          <w:rFonts w:ascii="Arial" w:hAnsi="Arial" w:cs="Arial"/>
          <w:szCs w:val="24"/>
        </w:rPr>
        <w:t>local taxes or contributions imposed or required under unemployment insurance, social security,</w:t>
      </w:r>
      <w:r w:rsidRPr="00082948">
        <w:rPr>
          <w:rFonts w:ascii="Arial" w:hAnsi="Arial" w:cs="Arial"/>
          <w:szCs w:val="24"/>
        </w:rPr>
        <w:t xml:space="preserve"> </w:t>
      </w:r>
      <w:r w:rsidR="00B04E6C" w:rsidRPr="00082948">
        <w:rPr>
          <w:rFonts w:ascii="Arial" w:hAnsi="Arial" w:cs="Arial"/>
          <w:szCs w:val="24"/>
        </w:rPr>
        <w:t xml:space="preserve">workers’ compensation, and income tax laws with respect to the </w:t>
      </w:r>
      <w:r w:rsidRPr="00082948">
        <w:rPr>
          <w:rFonts w:ascii="Arial" w:hAnsi="Arial" w:cs="Arial"/>
          <w:szCs w:val="24"/>
        </w:rPr>
        <w:t>v</w:t>
      </w:r>
      <w:r w:rsidR="00B04E6C" w:rsidRPr="00082948">
        <w:rPr>
          <w:rFonts w:ascii="Arial" w:hAnsi="Arial" w:cs="Arial"/>
          <w:szCs w:val="24"/>
        </w:rPr>
        <w:t>endor</w:t>
      </w:r>
      <w:r w:rsidRPr="00082948">
        <w:rPr>
          <w:rFonts w:ascii="Arial" w:hAnsi="Arial" w:cs="Arial"/>
          <w:szCs w:val="24"/>
        </w:rPr>
        <w:t>’</w:t>
      </w:r>
      <w:r w:rsidR="00B04E6C" w:rsidRPr="00082948">
        <w:rPr>
          <w:rFonts w:ascii="Arial" w:hAnsi="Arial" w:cs="Arial"/>
          <w:szCs w:val="24"/>
        </w:rPr>
        <w:t>s or their employees engaged in performance under th</w:t>
      </w:r>
      <w:r w:rsidRPr="00082948">
        <w:rPr>
          <w:rFonts w:ascii="Arial" w:hAnsi="Arial" w:cs="Arial"/>
          <w:szCs w:val="24"/>
        </w:rPr>
        <w:t>is</w:t>
      </w:r>
      <w:r w:rsidR="00B04E6C" w:rsidRPr="00082948">
        <w:rPr>
          <w:rFonts w:ascii="Arial" w:hAnsi="Arial" w:cs="Arial"/>
          <w:szCs w:val="24"/>
        </w:rPr>
        <w:t xml:space="preserve"> agreement.</w:t>
      </w:r>
    </w:p>
    <w:p w:rsidR="006E2925" w:rsidRPr="00082948" w:rsidRDefault="006E2925" w:rsidP="00B04E6C">
      <w:pPr>
        <w:rPr>
          <w:rFonts w:ascii="Arial" w:hAnsi="Arial" w:cs="Arial"/>
          <w:szCs w:val="24"/>
        </w:rPr>
      </w:pPr>
    </w:p>
    <w:p w:rsidR="006E2925" w:rsidRPr="00082948" w:rsidRDefault="006E2925" w:rsidP="006E2925">
      <w:pPr>
        <w:rPr>
          <w:rFonts w:ascii="Arial" w:hAnsi="Arial" w:cs="Arial"/>
          <w:szCs w:val="24"/>
        </w:rPr>
      </w:pPr>
      <w:r w:rsidRPr="00082948">
        <w:rPr>
          <w:rFonts w:ascii="Arial" w:hAnsi="Arial" w:cs="Arial"/>
          <w:szCs w:val="24"/>
        </w:rPr>
        <w:t>Vendors will maintain applicable workers’ compensation insurance as</w:t>
      </w:r>
      <w:r w:rsidR="00935185" w:rsidRPr="00082948">
        <w:rPr>
          <w:rFonts w:ascii="Arial" w:hAnsi="Arial" w:cs="Arial"/>
          <w:szCs w:val="24"/>
        </w:rPr>
        <w:t xml:space="preserve"> </w:t>
      </w:r>
      <w:r w:rsidRPr="00082948">
        <w:rPr>
          <w:rFonts w:ascii="Arial" w:hAnsi="Arial" w:cs="Arial"/>
          <w:szCs w:val="24"/>
        </w:rPr>
        <w:t xml:space="preserve">required by law and will provide </w:t>
      </w:r>
      <w:r w:rsidR="00FC013D" w:rsidRPr="00082948">
        <w:rPr>
          <w:rFonts w:ascii="Arial" w:hAnsi="Arial" w:cs="Arial"/>
          <w:szCs w:val="24"/>
        </w:rPr>
        <w:t xml:space="preserve">a </w:t>
      </w:r>
      <w:r w:rsidRPr="00082948">
        <w:rPr>
          <w:rFonts w:ascii="Arial" w:hAnsi="Arial" w:cs="Arial"/>
          <w:szCs w:val="24"/>
        </w:rPr>
        <w:t>certificate of same if requested. There will be no exceptions</w:t>
      </w:r>
      <w:r w:rsidR="00FC013D" w:rsidRPr="00082948">
        <w:rPr>
          <w:rFonts w:ascii="Arial" w:hAnsi="Arial" w:cs="Arial"/>
          <w:szCs w:val="24"/>
        </w:rPr>
        <w:t xml:space="preserve"> </w:t>
      </w:r>
      <w:r w:rsidRPr="00082948">
        <w:rPr>
          <w:rFonts w:ascii="Arial" w:hAnsi="Arial" w:cs="Arial"/>
          <w:szCs w:val="24"/>
        </w:rPr>
        <w:t>made to this requirement and failure to provide a certificate of workers’ compensation insurance</w:t>
      </w:r>
      <w:r w:rsidR="00FC013D" w:rsidRPr="00082948">
        <w:rPr>
          <w:rFonts w:ascii="Arial" w:hAnsi="Arial" w:cs="Arial"/>
          <w:szCs w:val="24"/>
        </w:rPr>
        <w:t xml:space="preserve"> </w:t>
      </w:r>
      <w:r w:rsidRPr="00082948">
        <w:rPr>
          <w:rFonts w:ascii="Arial" w:hAnsi="Arial" w:cs="Arial"/>
          <w:szCs w:val="24"/>
        </w:rPr>
        <w:t>may, at DAQ’s option, result in cancellation of th</w:t>
      </w:r>
      <w:r w:rsidR="00FC013D" w:rsidRPr="00082948">
        <w:rPr>
          <w:rFonts w:ascii="Arial" w:hAnsi="Arial" w:cs="Arial"/>
          <w:szCs w:val="24"/>
        </w:rPr>
        <w:t>is</w:t>
      </w:r>
      <w:r w:rsidRPr="00082948">
        <w:rPr>
          <w:rFonts w:ascii="Arial" w:hAnsi="Arial" w:cs="Arial"/>
          <w:szCs w:val="24"/>
        </w:rPr>
        <w:t xml:space="preserve"> agreement. Vendors must</w:t>
      </w:r>
      <w:r w:rsidR="00FC013D" w:rsidRPr="00082948">
        <w:rPr>
          <w:rFonts w:ascii="Arial" w:hAnsi="Arial" w:cs="Arial"/>
          <w:szCs w:val="24"/>
        </w:rPr>
        <w:t xml:space="preserve"> </w:t>
      </w:r>
      <w:r w:rsidRPr="00082948">
        <w:rPr>
          <w:rFonts w:ascii="Arial" w:hAnsi="Arial" w:cs="Arial"/>
          <w:szCs w:val="24"/>
        </w:rPr>
        <w:t>provide a certificate of workers’ compensation insurance issued by a surety licensed to</w:t>
      </w:r>
      <w:r w:rsidR="00FC013D" w:rsidRPr="00082948">
        <w:rPr>
          <w:rFonts w:ascii="Arial" w:hAnsi="Arial" w:cs="Arial"/>
          <w:szCs w:val="24"/>
        </w:rPr>
        <w:t xml:space="preserve"> </w:t>
      </w:r>
      <w:r w:rsidRPr="00082948">
        <w:rPr>
          <w:rFonts w:ascii="Arial" w:hAnsi="Arial" w:cs="Arial"/>
          <w:szCs w:val="24"/>
        </w:rPr>
        <w:t xml:space="preserve">write workers’ compensation insurance in the </w:t>
      </w:r>
      <w:r w:rsidR="00FC013D" w:rsidRPr="00082948">
        <w:rPr>
          <w:rFonts w:ascii="Arial" w:hAnsi="Arial" w:cs="Arial"/>
          <w:szCs w:val="24"/>
        </w:rPr>
        <w:t>S</w:t>
      </w:r>
      <w:r w:rsidRPr="00082948">
        <w:rPr>
          <w:rFonts w:ascii="Arial" w:hAnsi="Arial" w:cs="Arial"/>
          <w:szCs w:val="24"/>
        </w:rPr>
        <w:t xml:space="preserve">tate of Utah, as evidence that the </w:t>
      </w:r>
      <w:r w:rsidR="00FC013D" w:rsidRPr="00082948">
        <w:rPr>
          <w:rFonts w:ascii="Arial" w:hAnsi="Arial" w:cs="Arial"/>
          <w:szCs w:val="24"/>
        </w:rPr>
        <w:t>v</w:t>
      </w:r>
      <w:r w:rsidRPr="00082948">
        <w:rPr>
          <w:rFonts w:ascii="Arial" w:hAnsi="Arial" w:cs="Arial"/>
          <w:szCs w:val="24"/>
        </w:rPr>
        <w:t xml:space="preserve">endor has in effect a current Utah workers’ compensation insurance policy. </w:t>
      </w:r>
    </w:p>
    <w:p w:rsidR="006E2925" w:rsidRPr="00082948" w:rsidRDefault="006E2925" w:rsidP="006E2925">
      <w:pPr>
        <w:rPr>
          <w:rFonts w:ascii="Arial" w:hAnsi="Arial" w:cs="Arial"/>
          <w:szCs w:val="24"/>
        </w:rPr>
      </w:pPr>
    </w:p>
    <w:p w:rsidR="00201EBF" w:rsidRPr="00082948" w:rsidRDefault="006E2925" w:rsidP="006E2925">
      <w:pPr>
        <w:rPr>
          <w:rFonts w:ascii="Arial" w:hAnsi="Arial" w:cs="Arial"/>
          <w:szCs w:val="24"/>
        </w:rPr>
      </w:pPr>
      <w:r w:rsidRPr="00082948">
        <w:rPr>
          <w:rFonts w:ascii="Arial" w:hAnsi="Arial" w:cs="Arial"/>
          <w:szCs w:val="24"/>
        </w:rPr>
        <w:t xml:space="preserve">Vendors will carry out requirements under </w:t>
      </w:r>
      <w:r w:rsidR="00555D3E" w:rsidRPr="00082948">
        <w:rPr>
          <w:rFonts w:ascii="Arial" w:hAnsi="Arial" w:cs="Arial"/>
          <w:szCs w:val="24"/>
        </w:rPr>
        <w:t>their</w:t>
      </w:r>
      <w:r w:rsidRPr="00082948">
        <w:rPr>
          <w:rFonts w:ascii="Arial" w:hAnsi="Arial" w:cs="Arial"/>
          <w:szCs w:val="24"/>
        </w:rPr>
        <w:t xml:space="preserve"> agreements with homeowners </w:t>
      </w:r>
      <w:r w:rsidR="00555D3E" w:rsidRPr="00082948">
        <w:rPr>
          <w:rFonts w:ascii="Arial" w:hAnsi="Arial" w:cs="Arial"/>
          <w:szCs w:val="24"/>
        </w:rPr>
        <w:t>as independent</w:t>
      </w:r>
      <w:r w:rsidRPr="00082948">
        <w:rPr>
          <w:rFonts w:ascii="Arial" w:hAnsi="Arial" w:cs="Arial"/>
          <w:szCs w:val="24"/>
        </w:rPr>
        <w:t xml:space="preserve"> contractor</w:t>
      </w:r>
      <w:r w:rsidR="00555D3E" w:rsidRPr="00082948">
        <w:rPr>
          <w:rFonts w:ascii="Arial" w:hAnsi="Arial" w:cs="Arial"/>
          <w:szCs w:val="24"/>
        </w:rPr>
        <w:t>s</w:t>
      </w:r>
      <w:r w:rsidRPr="00082948">
        <w:rPr>
          <w:rFonts w:ascii="Arial" w:hAnsi="Arial" w:cs="Arial"/>
          <w:szCs w:val="24"/>
        </w:rPr>
        <w:t xml:space="preserve">. Vendors shall carry out </w:t>
      </w:r>
      <w:r w:rsidR="00555D3E" w:rsidRPr="00082948">
        <w:rPr>
          <w:rFonts w:ascii="Arial" w:hAnsi="Arial" w:cs="Arial"/>
          <w:szCs w:val="24"/>
        </w:rPr>
        <w:t>their</w:t>
      </w:r>
      <w:r w:rsidRPr="00082948">
        <w:rPr>
          <w:rFonts w:ascii="Arial" w:hAnsi="Arial" w:cs="Arial"/>
          <w:szCs w:val="24"/>
        </w:rPr>
        <w:t xml:space="preserve"> requirements for stove change-out</w:t>
      </w:r>
      <w:r w:rsidR="00583DA6">
        <w:rPr>
          <w:rFonts w:ascii="Arial" w:hAnsi="Arial" w:cs="Arial"/>
          <w:szCs w:val="24"/>
        </w:rPr>
        <w:t>/conversions</w:t>
      </w:r>
      <w:r w:rsidR="00555D3E" w:rsidRPr="00082948">
        <w:rPr>
          <w:rFonts w:ascii="Arial" w:hAnsi="Arial" w:cs="Arial"/>
          <w:szCs w:val="24"/>
        </w:rPr>
        <w:t xml:space="preserve"> </w:t>
      </w:r>
      <w:r w:rsidRPr="00082948">
        <w:rPr>
          <w:rFonts w:ascii="Arial" w:hAnsi="Arial" w:cs="Arial"/>
          <w:szCs w:val="24"/>
        </w:rPr>
        <w:t xml:space="preserve">in a way that ensures the satisfaction of homeowners, fulfilling </w:t>
      </w:r>
      <w:r w:rsidR="00555D3E" w:rsidRPr="00082948">
        <w:rPr>
          <w:rFonts w:ascii="Arial" w:hAnsi="Arial" w:cs="Arial"/>
          <w:szCs w:val="24"/>
        </w:rPr>
        <w:t>their</w:t>
      </w:r>
      <w:r w:rsidRPr="00082948">
        <w:rPr>
          <w:rFonts w:ascii="Arial" w:hAnsi="Arial" w:cs="Arial"/>
          <w:szCs w:val="24"/>
        </w:rPr>
        <w:t xml:space="preserve"> obligations under this</w:t>
      </w:r>
      <w:r w:rsidR="00555D3E" w:rsidRPr="00082948">
        <w:rPr>
          <w:rFonts w:ascii="Arial" w:hAnsi="Arial" w:cs="Arial"/>
          <w:szCs w:val="24"/>
        </w:rPr>
        <w:t xml:space="preserve"> </w:t>
      </w:r>
      <w:r w:rsidRPr="00082948">
        <w:rPr>
          <w:rFonts w:ascii="Arial" w:hAnsi="Arial" w:cs="Arial"/>
          <w:szCs w:val="24"/>
        </w:rPr>
        <w:t xml:space="preserve">agreement with DAQ and any agreement with a qualified homeowner under this program. DAQ does not assume liability for the participating </w:t>
      </w:r>
      <w:r w:rsidR="00555D3E" w:rsidRPr="00082948">
        <w:rPr>
          <w:rFonts w:ascii="Arial" w:hAnsi="Arial" w:cs="Arial"/>
          <w:szCs w:val="24"/>
        </w:rPr>
        <w:t>v</w:t>
      </w:r>
      <w:r w:rsidRPr="00082948">
        <w:rPr>
          <w:rFonts w:ascii="Arial" w:hAnsi="Arial" w:cs="Arial"/>
          <w:szCs w:val="24"/>
        </w:rPr>
        <w:t>endor</w:t>
      </w:r>
      <w:r w:rsidR="00DD14DE" w:rsidRPr="00082948">
        <w:rPr>
          <w:rFonts w:ascii="Arial" w:hAnsi="Arial" w:cs="Arial"/>
          <w:szCs w:val="24"/>
        </w:rPr>
        <w:t>’</w:t>
      </w:r>
      <w:r w:rsidRPr="00082948">
        <w:rPr>
          <w:rFonts w:ascii="Arial" w:hAnsi="Arial" w:cs="Arial"/>
          <w:szCs w:val="24"/>
        </w:rPr>
        <w:t>s obligations as they</w:t>
      </w:r>
      <w:r w:rsidR="00555D3E" w:rsidRPr="00082948">
        <w:rPr>
          <w:rFonts w:ascii="Arial" w:hAnsi="Arial" w:cs="Arial"/>
          <w:szCs w:val="24"/>
        </w:rPr>
        <w:t xml:space="preserve"> </w:t>
      </w:r>
      <w:r w:rsidRPr="00082948">
        <w:rPr>
          <w:rFonts w:ascii="Arial" w:hAnsi="Arial" w:cs="Arial"/>
          <w:szCs w:val="24"/>
        </w:rPr>
        <w:t>pertain to the appropriate and comprehensive purchase, delivery, permitting, and installation of a</w:t>
      </w:r>
      <w:r w:rsidR="00DD14DE" w:rsidRPr="00082948">
        <w:rPr>
          <w:rFonts w:ascii="Arial" w:hAnsi="Arial" w:cs="Arial"/>
          <w:szCs w:val="24"/>
        </w:rPr>
        <w:t xml:space="preserve"> </w:t>
      </w:r>
      <w:r w:rsidRPr="00082948">
        <w:rPr>
          <w:rFonts w:ascii="Arial" w:hAnsi="Arial" w:cs="Arial"/>
          <w:szCs w:val="24"/>
        </w:rPr>
        <w:t>qualifying heating device within a homeowner’s residence.</w:t>
      </w:r>
    </w:p>
    <w:p w:rsidR="00201EBF" w:rsidRPr="00082948" w:rsidRDefault="00201EBF" w:rsidP="00201EBF">
      <w:pPr>
        <w:pStyle w:val="Heading1"/>
        <w:rPr>
          <w:rFonts w:eastAsiaTheme="minorHAnsi"/>
          <w:snapToGrid/>
          <w:color w:val="auto"/>
        </w:rPr>
      </w:pPr>
      <w:proofErr w:type="gramStart"/>
      <w:r w:rsidRPr="00082948">
        <w:rPr>
          <w:rFonts w:eastAsiaTheme="minorHAnsi"/>
          <w:snapToGrid/>
          <w:color w:val="auto"/>
        </w:rPr>
        <w:t>Section 5.</w:t>
      </w:r>
      <w:proofErr w:type="gramEnd"/>
      <w:r w:rsidRPr="00082948">
        <w:rPr>
          <w:rFonts w:eastAsiaTheme="minorHAnsi"/>
          <w:snapToGrid/>
          <w:color w:val="auto"/>
        </w:rPr>
        <w:t xml:space="preserve">  Changes/Modifications</w:t>
      </w:r>
    </w:p>
    <w:p w:rsidR="00201EBF" w:rsidRPr="00082948" w:rsidRDefault="00201EBF" w:rsidP="00201EBF"/>
    <w:p w:rsidR="00201EBF" w:rsidRPr="00082948" w:rsidRDefault="00201EBF" w:rsidP="00201EBF">
      <w:pPr>
        <w:rPr>
          <w:rFonts w:ascii="Arial" w:hAnsi="Arial" w:cs="Arial"/>
          <w:szCs w:val="24"/>
        </w:rPr>
      </w:pPr>
      <w:r w:rsidRPr="00082948">
        <w:rPr>
          <w:rFonts w:ascii="Arial" w:hAnsi="Arial" w:cs="Arial"/>
          <w:szCs w:val="24"/>
        </w:rPr>
        <w:t xml:space="preserve">Changes or modifications to this agreement can be affected only </w:t>
      </w:r>
      <w:r w:rsidR="00804214" w:rsidRPr="00082948">
        <w:rPr>
          <w:rFonts w:ascii="Arial" w:hAnsi="Arial" w:cs="Arial"/>
          <w:szCs w:val="24"/>
        </w:rPr>
        <w:t>by DAQ’s</w:t>
      </w:r>
      <w:r w:rsidRPr="00082948">
        <w:rPr>
          <w:rFonts w:ascii="Arial" w:hAnsi="Arial" w:cs="Arial"/>
          <w:szCs w:val="24"/>
        </w:rPr>
        <w:t xml:space="preserve"> </w:t>
      </w:r>
      <w:r w:rsidR="00804214" w:rsidRPr="00082948">
        <w:rPr>
          <w:rFonts w:ascii="Arial" w:hAnsi="Arial" w:cs="Arial"/>
          <w:szCs w:val="24"/>
        </w:rPr>
        <w:t xml:space="preserve">written </w:t>
      </w:r>
      <w:r w:rsidRPr="00082948">
        <w:rPr>
          <w:rFonts w:ascii="Arial" w:hAnsi="Arial" w:cs="Arial"/>
          <w:szCs w:val="24"/>
        </w:rPr>
        <w:t>consent and after any proposed change or modification has been submitted in</w:t>
      </w:r>
      <w:r w:rsidR="00804214" w:rsidRPr="00082948">
        <w:rPr>
          <w:rFonts w:ascii="Arial" w:hAnsi="Arial" w:cs="Arial"/>
          <w:szCs w:val="24"/>
        </w:rPr>
        <w:t xml:space="preserve"> </w:t>
      </w:r>
      <w:r w:rsidRPr="00082948">
        <w:rPr>
          <w:rFonts w:ascii="Arial" w:hAnsi="Arial" w:cs="Arial"/>
          <w:szCs w:val="24"/>
        </w:rPr>
        <w:t>writing, signed by the party proposing the change.</w:t>
      </w:r>
    </w:p>
    <w:p w:rsidR="005C5195" w:rsidRPr="00082948" w:rsidRDefault="005C5195" w:rsidP="005C5195">
      <w:pPr>
        <w:pStyle w:val="Heading1"/>
        <w:rPr>
          <w:color w:val="auto"/>
        </w:rPr>
      </w:pPr>
      <w:proofErr w:type="gramStart"/>
      <w:r w:rsidRPr="00082948">
        <w:rPr>
          <w:color w:val="auto"/>
        </w:rPr>
        <w:t>Section 6.</w:t>
      </w:r>
      <w:proofErr w:type="gramEnd"/>
      <w:r w:rsidRPr="00082948">
        <w:rPr>
          <w:color w:val="auto"/>
        </w:rPr>
        <w:t xml:space="preserve"> Assignments</w:t>
      </w:r>
    </w:p>
    <w:p w:rsidR="005C5195" w:rsidRPr="00082948" w:rsidRDefault="005C5195" w:rsidP="005C5195">
      <w:pPr>
        <w:rPr>
          <w:rFonts w:ascii="Arial" w:hAnsi="Arial" w:cs="Arial"/>
          <w:szCs w:val="24"/>
        </w:rPr>
      </w:pPr>
    </w:p>
    <w:p w:rsidR="005C5195" w:rsidRPr="00082948" w:rsidRDefault="005C5195" w:rsidP="005C5195">
      <w:pPr>
        <w:rPr>
          <w:rFonts w:ascii="Arial" w:hAnsi="Arial" w:cs="Arial"/>
          <w:szCs w:val="24"/>
        </w:rPr>
      </w:pPr>
      <w:r w:rsidRPr="00082948">
        <w:rPr>
          <w:rFonts w:ascii="Arial" w:hAnsi="Arial" w:cs="Arial"/>
          <w:szCs w:val="24"/>
        </w:rPr>
        <w:t>This agreement is not assignable.</w:t>
      </w:r>
    </w:p>
    <w:p w:rsidR="00FD60DF" w:rsidRPr="00082948" w:rsidRDefault="00FD60DF" w:rsidP="00FD60DF">
      <w:pPr>
        <w:pStyle w:val="Heading1"/>
        <w:rPr>
          <w:color w:val="auto"/>
        </w:rPr>
      </w:pPr>
      <w:proofErr w:type="gramStart"/>
      <w:r w:rsidRPr="00082948">
        <w:rPr>
          <w:color w:val="auto"/>
        </w:rPr>
        <w:t>Section 7.</w:t>
      </w:r>
      <w:proofErr w:type="gramEnd"/>
      <w:r w:rsidRPr="00082948">
        <w:rPr>
          <w:color w:val="auto"/>
        </w:rPr>
        <w:t xml:space="preserve"> Subcontracting</w:t>
      </w:r>
    </w:p>
    <w:p w:rsidR="00FD60DF" w:rsidRPr="00082948" w:rsidRDefault="00FD60DF" w:rsidP="00FD60DF">
      <w:pPr>
        <w:rPr>
          <w:rFonts w:ascii="Arial" w:hAnsi="Arial" w:cs="Arial"/>
          <w:szCs w:val="24"/>
        </w:rPr>
      </w:pPr>
    </w:p>
    <w:p w:rsidR="005C5195" w:rsidRPr="00082948" w:rsidRDefault="00FD60DF" w:rsidP="00FD60DF">
      <w:pPr>
        <w:rPr>
          <w:rFonts w:ascii="Arial" w:hAnsi="Arial" w:cs="Arial"/>
          <w:szCs w:val="24"/>
        </w:rPr>
      </w:pPr>
      <w:r w:rsidRPr="00082948">
        <w:rPr>
          <w:rFonts w:ascii="Arial" w:hAnsi="Arial" w:cs="Arial"/>
          <w:szCs w:val="24"/>
        </w:rPr>
        <w:t xml:space="preserve">Vendors may enter into a subcontract </w:t>
      </w:r>
      <w:r w:rsidR="0075633F" w:rsidRPr="00082948">
        <w:rPr>
          <w:rFonts w:ascii="Arial" w:hAnsi="Arial" w:cs="Arial"/>
          <w:szCs w:val="24"/>
        </w:rPr>
        <w:t>in order to successfully complete the requirements of this program</w:t>
      </w:r>
      <w:r w:rsidRPr="00082948">
        <w:rPr>
          <w:rFonts w:ascii="Arial" w:hAnsi="Arial" w:cs="Arial"/>
          <w:szCs w:val="24"/>
        </w:rPr>
        <w:t>. This</w:t>
      </w:r>
      <w:r w:rsidR="0075633F" w:rsidRPr="00082948">
        <w:rPr>
          <w:rFonts w:ascii="Arial" w:hAnsi="Arial" w:cs="Arial"/>
          <w:szCs w:val="24"/>
        </w:rPr>
        <w:t xml:space="preserve"> </w:t>
      </w:r>
      <w:r w:rsidRPr="00082948">
        <w:rPr>
          <w:rFonts w:ascii="Arial" w:hAnsi="Arial" w:cs="Arial"/>
          <w:szCs w:val="24"/>
        </w:rPr>
        <w:t xml:space="preserve">permission to subcontract, however, does </w:t>
      </w:r>
      <w:proofErr w:type="gramStart"/>
      <w:r w:rsidRPr="00082948">
        <w:rPr>
          <w:rFonts w:ascii="Arial" w:hAnsi="Arial" w:cs="Arial"/>
          <w:szCs w:val="24"/>
        </w:rPr>
        <w:t>not  relieve</w:t>
      </w:r>
      <w:proofErr w:type="gramEnd"/>
      <w:r w:rsidRPr="00082948">
        <w:rPr>
          <w:rFonts w:ascii="Arial" w:hAnsi="Arial" w:cs="Arial"/>
          <w:szCs w:val="24"/>
        </w:rPr>
        <w:t xml:space="preserve"> </w:t>
      </w:r>
      <w:r w:rsidR="0075633F" w:rsidRPr="00082948">
        <w:rPr>
          <w:rFonts w:ascii="Arial" w:hAnsi="Arial" w:cs="Arial"/>
          <w:szCs w:val="24"/>
        </w:rPr>
        <w:t>the v</w:t>
      </w:r>
      <w:r w:rsidRPr="00082948">
        <w:rPr>
          <w:rFonts w:ascii="Arial" w:hAnsi="Arial" w:cs="Arial"/>
          <w:szCs w:val="24"/>
        </w:rPr>
        <w:t>endor</w:t>
      </w:r>
      <w:r w:rsidR="00DD14DE" w:rsidRPr="00082948">
        <w:rPr>
          <w:rFonts w:ascii="Arial" w:hAnsi="Arial" w:cs="Arial"/>
          <w:szCs w:val="24"/>
        </w:rPr>
        <w:t>’</w:t>
      </w:r>
      <w:r w:rsidR="0075633F" w:rsidRPr="00082948">
        <w:rPr>
          <w:rFonts w:ascii="Arial" w:hAnsi="Arial" w:cs="Arial"/>
          <w:szCs w:val="24"/>
        </w:rPr>
        <w:t>s</w:t>
      </w:r>
      <w:r w:rsidRPr="00082948">
        <w:rPr>
          <w:rFonts w:ascii="Arial" w:hAnsi="Arial" w:cs="Arial"/>
          <w:szCs w:val="24"/>
        </w:rPr>
        <w:t xml:space="preserve"> of </w:t>
      </w:r>
      <w:r w:rsidR="0075633F" w:rsidRPr="00082948">
        <w:rPr>
          <w:rFonts w:ascii="Arial" w:hAnsi="Arial" w:cs="Arial"/>
          <w:szCs w:val="24"/>
        </w:rPr>
        <w:t xml:space="preserve">their </w:t>
      </w:r>
      <w:r w:rsidRPr="00082948">
        <w:rPr>
          <w:rFonts w:ascii="Arial" w:hAnsi="Arial" w:cs="Arial"/>
          <w:szCs w:val="24"/>
        </w:rPr>
        <w:t xml:space="preserve">obligations </w:t>
      </w:r>
      <w:r w:rsidR="0075633F" w:rsidRPr="00082948">
        <w:rPr>
          <w:rFonts w:ascii="Arial" w:hAnsi="Arial" w:cs="Arial"/>
          <w:szCs w:val="24"/>
        </w:rPr>
        <w:t xml:space="preserve">to pay </w:t>
      </w:r>
      <w:r w:rsidRPr="00082948">
        <w:rPr>
          <w:rFonts w:ascii="Arial" w:hAnsi="Arial" w:cs="Arial"/>
          <w:szCs w:val="24"/>
        </w:rPr>
        <w:t>for subcontracted work, or any other responsibilit</w:t>
      </w:r>
      <w:r w:rsidR="0075633F" w:rsidRPr="00082948">
        <w:rPr>
          <w:rFonts w:ascii="Arial" w:hAnsi="Arial" w:cs="Arial"/>
          <w:szCs w:val="24"/>
        </w:rPr>
        <w:t>ies under this</w:t>
      </w:r>
      <w:r w:rsidRPr="00082948">
        <w:rPr>
          <w:rFonts w:ascii="Arial" w:hAnsi="Arial" w:cs="Arial"/>
          <w:szCs w:val="24"/>
        </w:rPr>
        <w:t xml:space="preserve"> agreement.</w:t>
      </w:r>
    </w:p>
    <w:p w:rsidR="00FD60DF" w:rsidRPr="00082948" w:rsidRDefault="00FD60DF" w:rsidP="00FD60DF">
      <w:pPr>
        <w:rPr>
          <w:rFonts w:ascii="Arial" w:hAnsi="Arial" w:cs="Arial"/>
          <w:szCs w:val="24"/>
        </w:rPr>
      </w:pPr>
    </w:p>
    <w:p w:rsidR="00F46D90" w:rsidRPr="00082948" w:rsidRDefault="00573A1E" w:rsidP="00F46D90">
      <w:pPr>
        <w:rPr>
          <w:rFonts w:ascii="Arial" w:hAnsi="Arial" w:cs="Arial"/>
          <w:szCs w:val="24"/>
        </w:rPr>
      </w:pPr>
      <w:r>
        <w:rPr>
          <w:rFonts w:ascii="Arial" w:hAnsi="Arial" w:cs="Arial"/>
          <w:szCs w:val="24"/>
        </w:rPr>
        <w:t>V</w:t>
      </w:r>
      <w:r w:rsidR="00F46D90" w:rsidRPr="00082948">
        <w:rPr>
          <w:rFonts w:ascii="Arial" w:hAnsi="Arial" w:cs="Arial"/>
          <w:szCs w:val="24"/>
        </w:rPr>
        <w:t xml:space="preserve">endor </w:t>
      </w:r>
      <w:r w:rsidR="00627675">
        <w:rPr>
          <w:rFonts w:ascii="Arial" w:hAnsi="Arial" w:cs="Arial"/>
          <w:szCs w:val="24"/>
        </w:rPr>
        <w:t>will</w:t>
      </w:r>
      <w:r w:rsidR="00F46D90" w:rsidRPr="00082948">
        <w:rPr>
          <w:rFonts w:ascii="Arial" w:hAnsi="Arial" w:cs="Arial"/>
          <w:szCs w:val="24"/>
        </w:rPr>
        <w:t xml:space="preserve"> be and remain liable for all damages to DAQ and/or homeowner</w:t>
      </w:r>
    </w:p>
    <w:p w:rsidR="00F46D90" w:rsidRPr="00082948" w:rsidRDefault="00F46D90" w:rsidP="00F46D90">
      <w:pPr>
        <w:rPr>
          <w:rFonts w:ascii="Arial" w:hAnsi="Arial" w:cs="Arial"/>
          <w:szCs w:val="24"/>
        </w:rPr>
      </w:pPr>
      <w:proofErr w:type="gramStart"/>
      <w:r w:rsidRPr="00082948">
        <w:rPr>
          <w:rFonts w:ascii="Arial" w:hAnsi="Arial" w:cs="Arial"/>
          <w:szCs w:val="24"/>
        </w:rPr>
        <w:t>caused</w:t>
      </w:r>
      <w:proofErr w:type="gramEnd"/>
      <w:r w:rsidRPr="00082948">
        <w:rPr>
          <w:rFonts w:ascii="Arial" w:hAnsi="Arial" w:cs="Arial"/>
          <w:szCs w:val="24"/>
        </w:rPr>
        <w:t xml:space="preserve"> by negligent performance or nonperformance of work under the agreement by</w:t>
      </w:r>
    </w:p>
    <w:p w:rsidR="00F46D90" w:rsidRPr="00082948" w:rsidRDefault="00540787" w:rsidP="00F46D90">
      <w:pPr>
        <w:rPr>
          <w:rFonts w:ascii="Arial" w:hAnsi="Arial" w:cs="Arial"/>
          <w:szCs w:val="24"/>
        </w:rPr>
      </w:pPr>
      <w:proofErr w:type="gramStart"/>
      <w:r w:rsidRPr="00082948">
        <w:rPr>
          <w:rFonts w:ascii="Arial" w:hAnsi="Arial" w:cs="Arial"/>
          <w:szCs w:val="24"/>
        </w:rPr>
        <w:t>v</w:t>
      </w:r>
      <w:r w:rsidR="00F46D90" w:rsidRPr="00082948">
        <w:rPr>
          <w:rFonts w:ascii="Arial" w:hAnsi="Arial" w:cs="Arial"/>
          <w:szCs w:val="24"/>
        </w:rPr>
        <w:t>endors</w:t>
      </w:r>
      <w:proofErr w:type="gramEnd"/>
      <w:r w:rsidR="00F46D90" w:rsidRPr="00082948">
        <w:rPr>
          <w:rFonts w:ascii="Arial" w:hAnsi="Arial" w:cs="Arial"/>
          <w:szCs w:val="24"/>
        </w:rPr>
        <w:t xml:space="preserve"> subcontractors. In addition, subcontractors must maintain the same types</w:t>
      </w:r>
    </w:p>
    <w:p w:rsidR="00F46D90" w:rsidRPr="00082948" w:rsidRDefault="00F46D90" w:rsidP="00F46D90">
      <w:pPr>
        <w:rPr>
          <w:rFonts w:ascii="Arial" w:hAnsi="Arial" w:cs="Arial"/>
          <w:szCs w:val="24"/>
        </w:rPr>
      </w:pPr>
      <w:r w:rsidRPr="00082948">
        <w:rPr>
          <w:rFonts w:ascii="Arial" w:hAnsi="Arial" w:cs="Arial"/>
          <w:szCs w:val="24"/>
        </w:rPr>
        <w:t xml:space="preserve">and levels of insurance as required of the participating </w:t>
      </w:r>
      <w:r w:rsidR="00573A1E">
        <w:rPr>
          <w:rFonts w:ascii="Arial" w:hAnsi="Arial" w:cs="Arial"/>
          <w:szCs w:val="24"/>
        </w:rPr>
        <w:t>v</w:t>
      </w:r>
      <w:r w:rsidRPr="00082948">
        <w:rPr>
          <w:rFonts w:ascii="Arial" w:hAnsi="Arial" w:cs="Arial"/>
          <w:szCs w:val="24"/>
        </w:rPr>
        <w:t>endor under th</w:t>
      </w:r>
      <w:r w:rsidR="00540787" w:rsidRPr="00082948">
        <w:rPr>
          <w:rFonts w:ascii="Arial" w:hAnsi="Arial" w:cs="Arial"/>
          <w:szCs w:val="24"/>
        </w:rPr>
        <w:t xml:space="preserve">is </w:t>
      </w:r>
      <w:r w:rsidRPr="00082948">
        <w:rPr>
          <w:rFonts w:ascii="Arial" w:hAnsi="Arial" w:cs="Arial"/>
          <w:szCs w:val="24"/>
        </w:rPr>
        <w:t xml:space="preserve">agreement, </w:t>
      </w:r>
      <w:r w:rsidRPr="00082948">
        <w:rPr>
          <w:rFonts w:ascii="Arial" w:hAnsi="Arial" w:cs="Arial"/>
          <w:szCs w:val="24"/>
        </w:rPr>
        <w:lastRenderedPageBreak/>
        <w:t xml:space="preserve">save the participating </w:t>
      </w:r>
      <w:r w:rsidR="00540787" w:rsidRPr="00082948">
        <w:rPr>
          <w:rFonts w:ascii="Arial" w:hAnsi="Arial" w:cs="Arial"/>
          <w:szCs w:val="24"/>
        </w:rPr>
        <w:t>v</w:t>
      </w:r>
      <w:r w:rsidRPr="00082948">
        <w:rPr>
          <w:rFonts w:ascii="Arial" w:hAnsi="Arial" w:cs="Arial"/>
          <w:szCs w:val="24"/>
        </w:rPr>
        <w:t>endor provid</w:t>
      </w:r>
      <w:r w:rsidR="00540787" w:rsidRPr="00082948">
        <w:rPr>
          <w:rFonts w:ascii="Arial" w:hAnsi="Arial" w:cs="Arial"/>
          <w:szCs w:val="24"/>
        </w:rPr>
        <w:t xml:space="preserve">es </w:t>
      </w:r>
      <w:r w:rsidRPr="00082948">
        <w:rPr>
          <w:rFonts w:ascii="Arial" w:hAnsi="Arial" w:cs="Arial"/>
          <w:szCs w:val="24"/>
        </w:rPr>
        <w:t>proof to DAQ’s satisfaction that the subcontractors are fully</w:t>
      </w:r>
      <w:r w:rsidR="00540787" w:rsidRPr="00082948">
        <w:rPr>
          <w:rFonts w:ascii="Arial" w:hAnsi="Arial" w:cs="Arial"/>
          <w:szCs w:val="24"/>
        </w:rPr>
        <w:t xml:space="preserve"> </w:t>
      </w:r>
      <w:r w:rsidRPr="00082948">
        <w:rPr>
          <w:rFonts w:ascii="Arial" w:hAnsi="Arial" w:cs="Arial"/>
          <w:szCs w:val="24"/>
        </w:rPr>
        <w:t xml:space="preserve">covered under the participating </w:t>
      </w:r>
      <w:r w:rsidR="00540787" w:rsidRPr="00082948">
        <w:rPr>
          <w:rFonts w:ascii="Arial" w:hAnsi="Arial" w:cs="Arial"/>
          <w:szCs w:val="24"/>
        </w:rPr>
        <w:t>v</w:t>
      </w:r>
      <w:r w:rsidRPr="00082948">
        <w:rPr>
          <w:rFonts w:ascii="Arial" w:hAnsi="Arial" w:cs="Arial"/>
          <w:szCs w:val="24"/>
        </w:rPr>
        <w:t xml:space="preserve">endor’s insurance. Unless participating </w:t>
      </w:r>
      <w:r w:rsidR="00540787" w:rsidRPr="00082948">
        <w:rPr>
          <w:rFonts w:ascii="Arial" w:hAnsi="Arial" w:cs="Arial"/>
          <w:szCs w:val="24"/>
        </w:rPr>
        <w:t>v</w:t>
      </w:r>
      <w:r w:rsidRPr="00082948">
        <w:rPr>
          <w:rFonts w:ascii="Arial" w:hAnsi="Arial" w:cs="Arial"/>
          <w:szCs w:val="24"/>
        </w:rPr>
        <w:t>endor’s insurance</w:t>
      </w:r>
      <w:r w:rsidR="00540787" w:rsidRPr="00082948">
        <w:rPr>
          <w:rFonts w:ascii="Arial" w:hAnsi="Arial" w:cs="Arial"/>
          <w:szCs w:val="24"/>
        </w:rPr>
        <w:t xml:space="preserve"> </w:t>
      </w:r>
      <w:r w:rsidRPr="00082948">
        <w:rPr>
          <w:rFonts w:ascii="Arial" w:hAnsi="Arial" w:cs="Arial"/>
          <w:szCs w:val="24"/>
        </w:rPr>
        <w:t>provides workers’ compensation coverage for</w:t>
      </w:r>
      <w:r w:rsidR="00540787" w:rsidRPr="00082948">
        <w:rPr>
          <w:rFonts w:ascii="Arial" w:hAnsi="Arial" w:cs="Arial"/>
          <w:szCs w:val="24"/>
        </w:rPr>
        <w:t xml:space="preserve"> the</w:t>
      </w:r>
      <w:r w:rsidRPr="00082948">
        <w:rPr>
          <w:rFonts w:ascii="Arial" w:hAnsi="Arial" w:cs="Arial"/>
          <w:szCs w:val="24"/>
        </w:rPr>
        <w:t xml:space="preserve"> subcontracted installer and subcontracted</w:t>
      </w:r>
      <w:r w:rsidR="00540787" w:rsidRPr="00082948">
        <w:rPr>
          <w:rFonts w:ascii="Arial" w:hAnsi="Arial" w:cs="Arial"/>
          <w:szCs w:val="24"/>
        </w:rPr>
        <w:t xml:space="preserve"> </w:t>
      </w:r>
      <w:r w:rsidRPr="00082948">
        <w:rPr>
          <w:rFonts w:ascii="Arial" w:hAnsi="Arial" w:cs="Arial"/>
          <w:szCs w:val="24"/>
        </w:rPr>
        <w:t xml:space="preserve">installer’s employees, participating </w:t>
      </w:r>
      <w:r w:rsidR="00540787" w:rsidRPr="00082948">
        <w:rPr>
          <w:rFonts w:ascii="Arial" w:hAnsi="Arial" w:cs="Arial"/>
          <w:szCs w:val="24"/>
        </w:rPr>
        <w:t>v</w:t>
      </w:r>
      <w:r w:rsidRPr="00082948">
        <w:rPr>
          <w:rFonts w:ascii="Arial" w:hAnsi="Arial" w:cs="Arial"/>
          <w:szCs w:val="24"/>
        </w:rPr>
        <w:t>endor shall verify the effectiveness of its subcontractor</w:t>
      </w:r>
      <w:r w:rsidR="00540787" w:rsidRPr="00082948">
        <w:rPr>
          <w:rFonts w:ascii="Arial" w:hAnsi="Arial" w:cs="Arial"/>
          <w:szCs w:val="24"/>
        </w:rPr>
        <w:t>’</w:t>
      </w:r>
      <w:r w:rsidRPr="00082948">
        <w:rPr>
          <w:rFonts w:ascii="Arial" w:hAnsi="Arial" w:cs="Arial"/>
          <w:szCs w:val="24"/>
        </w:rPr>
        <w:t>s</w:t>
      </w:r>
      <w:r w:rsidR="00540787" w:rsidRPr="00082948">
        <w:rPr>
          <w:rFonts w:ascii="Arial" w:hAnsi="Arial" w:cs="Arial"/>
          <w:szCs w:val="24"/>
        </w:rPr>
        <w:t xml:space="preserve"> </w:t>
      </w:r>
      <w:r w:rsidRPr="00082948">
        <w:rPr>
          <w:rFonts w:ascii="Arial" w:hAnsi="Arial" w:cs="Arial"/>
          <w:szCs w:val="24"/>
        </w:rPr>
        <w:t xml:space="preserve">insurance prior to using a subcontracted installer under the agreement and </w:t>
      </w:r>
      <w:r w:rsidR="00540787" w:rsidRPr="00082948">
        <w:rPr>
          <w:rFonts w:ascii="Arial" w:hAnsi="Arial" w:cs="Arial"/>
          <w:szCs w:val="24"/>
        </w:rPr>
        <w:t xml:space="preserve">continue to verify subcontractor’s insurance </w:t>
      </w:r>
      <w:r w:rsidRPr="00082948">
        <w:rPr>
          <w:rFonts w:ascii="Arial" w:hAnsi="Arial" w:cs="Arial"/>
          <w:szCs w:val="24"/>
        </w:rPr>
        <w:t>at least annually</w:t>
      </w:r>
      <w:r w:rsidR="00540787" w:rsidRPr="00082948">
        <w:rPr>
          <w:rFonts w:ascii="Arial" w:hAnsi="Arial" w:cs="Arial"/>
          <w:szCs w:val="24"/>
        </w:rPr>
        <w:t xml:space="preserve"> </w:t>
      </w:r>
      <w:r w:rsidRPr="00082948">
        <w:rPr>
          <w:rFonts w:ascii="Arial" w:hAnsi="Arial" w:cs="Arial"/>
          <w:szCs w:val="24"/>
        </w:rPr>
        <w:t>thereafter during the term of the agreement.</w:t>
      </w:r>
    </w:p>
    <w:p w:rsidR="00F46D90" w:rsidRPr="00082948" w:rsidRDefault="00F46D90" w:rsidP="00F46D90">
      <w:pPr>
        <w:rPr>
          <w:rFonts w:ascii="Arial" w:hAnsi="Arial" w:cs="Arial"/>
          <w:szCs w:val="24"/>
        </w:rPr>
      </w:pPr>
    </w:p>
    <w:p w:rsidR="00FD60DF" w:rsidRPr="00082948" w:rsidRDefault="00F46D90" w:rsidP="00F46D90">
      <w:pPr>
        <w:rPr>
          <w:rFonts w:ascii="Arial" w:hAnsi="Arial" w:cs="Arial"/>
          <w:szCs w:val="24"/>
        </w:rPr>
      </w:pPr>
      <w:r w:rsidRPr="00082948">
        <w:rPr>
          <w:rFonts w:ascii="Arial" w:hAnsi="Arial" w:cs="Arial"/>
          <w:szCs w:val="24"/>
        </w:rPr>
        <w:t>Documentation for any subcontractor to be used as an installer shall be included with the initial</w:t>
      </w:r>
      <w:r w:rsidR="00540787" w:rsidRPr="00082948">
        <w:rPr>
          <w:rFonts w:ascii="Arial" w:hAnsi="Arial" w:cs="Arial"/>
          <w:szCs w:val="24"/>
        </w:rPr>
        <w:t xml:space="preserve"> </w:t>
      </w:r>
      <w:r w:rsidRPr="00082948">
        <w:rPr>
          <w:rFonts w:ascii="Arial" w:hAnsi="Arial" w:cs="Arial"/>
          <w:szCs w:val="24"/>
        </w:rPr>
        <w:t xml:space="preserve">submission of a participating </w:t>
      </w:r>
      <w:r w:rsidR="00540787" w:rsidRPr="00082948">
        <w:rPr>
          <w:rFonts w:ascii="Arial" w:hAnsi="Arial" w:cs="Arial"/>
          <w:szCs w:val="24"/>
        </w:rPr>
        <w:t>v</w:t>
      </w:r>
      <w:r w:rsidRPr="00082948">
        <w:rPr>
          <w:rFonts w:ascii="Arial" w:hAnsi="Arial" w:cs="Arial"/>
          <w:szCs w:val="24"/>
        </w:rPr>
        <w:t xml:space="preserve">endor’s agreement documents. Should the participating </w:t>
      </w:r>
      <w:r w:rsidR="00540787" w:rsidRPr="00082948">
        <w:rPr>
          <w:rFonts w:ascii="Arial" w:hAnsi="Arial" w:cs="Arial"/>
          <w:szCs w:val="24"/>
        </w:rPr>
        <w:t>v</w:t>
      </w:r>
      <w:r w:rsidRPr="00082948">
        <w:rPr>
          <w:rFonts w:ascii="Arial" w:hAnsi="Arial" w:cs="Arial"/>
          <w:szCs w:val="24"/>
        </w:rPr>
        <w:t>endor choose to add a</w:t>
      </w:r>
      <w:r w:rsidR="00540787" w:rsidRPr="00082948">
        <w:rPr>
          <w:rFonts w:ascii="Arial" w:hAnsi="Arial" w:cs="Arial"/>
          <w:szCs w:val="24"/>
        </w:rPr>
        <w:t xml:space="preserve"> </w:t>
      </w:r>
      <w:r w:rsidRPr="00082948">
        <w:rPr>
          <w:rFonts w:ascii="Arial" w:hAnsi="Arial" w:cs="Arial"/>
          <w:szCs w:val="24"/>
        </w:rPr>
        <w:t>new subcontractor to its list of subcontracted installers, it must submit to DAQ the qualifications,</w:t>
      </w:r>
      <w:r w:rsidR="00540787" w:rsidRPr="00082948">
        <w:rPr>
          <w:rFonts w:ascii="Arial" w:hAnsi="Arial" w:cs="Arial"/>
          <w:szCs w:val="24"/>
        </w:rPr>
        <w:t xml:space="preserve"> </w:t>
      </w:r>
      <w:r w:rsidRPr="00082948">
        <w:rPr>
          <w:rFonts w:ascii="Arial" w:hAnsi="Arial" w:cs="Arial"/>
          <w:szCs w:val="24"/>
        </w:rPr>
        <w:t xml:space="preserve">including the Utah registration   number, of that subcontractor prior to </w:t>
      </w:r>
      <w:r w:rsidR="00540787" w:rsidRPr="00082948">
        <w:rPr>
          <w:rFonts w:ascii="Arial" w:hAnsi="Arial" w:cs="Arial"/>
          <w:szCs w:val="24"/>
        </w:rPr>
        <w:t>entering into a contract with that subcontractor</w:t>
      </w:r>
      <w:r w:rsidRPr="00082948">
        <w:rPr>
          <w:rFonts w:ascii="Arial" w:hAnsi="Arial" w:cs="Arial"/>
          <w:szCs w:val="24"/>
        </w:rPr>
        <w:t xml:space="preserve">. DAQ will alert the participating </w:t>
      </w:r>
      <w:r w:rsidR="00540787" w:rsidRPr="00082948">
        <w:rPr>
          <w:rFonts w:ascii="Arial" w:hAnsi="Arial" w:cs="Arial"/>
          <w:szCs w:val="24"/>
        </w:rPr>
        <w:t>v</w:t>
      </w:r>
      <w:r w:rsidRPr="00082948">
        <w:rPr>
          <w:rFonts w:ascii="Arial" w:hAnsi="Arial" w:cs="Arial"/>
          <w:szCs w:val="24"/>
        </w:rPr>
        <w:t>endor when a subcontractor has been</w:t>
      </w:r>
      <w:r w:rsidR="00540787" w:rsidRPr="00082948">
        <w:rPr>
          <w:rFonts w:ascii="Arial" w:hAnsi="Arial" w:cs="Arial"/>
          <w:szCs w:val="24"/>
        </w:rPr>
        <w:t xml:space="preserve"> approved by DAQ</w:t>
      </w:r>
      <w:r w:rsidRPr="00082948">
        <w:rPr>
          <w:rFonts w:ascii="Arial" w:hAnsi="Arial" w:cs="Arial"/>
          <w:szCs w:val="24"/>
        </w:rPr>
        <w:t xml:space="preserve">. </w:t>
      </w:r>
    </w:p>
    <w:p w:rsidR="00E86EF5" w:rsidRPr="00082948" w:rsidRDefault="00E86EF5" w:rsidP="00E86EF5">
      <w:pPr>
        <w:pStyle w:val="Heading1"/>
        <w:rPr>
          <w:color w:val="auto"/>
        </w:rPr>
      </w:pPr>
      <w:proofErr w:type="gramStart"/>
      <w:r w:rsidRPr="00082948">
        <w:rPr>
          <w:color w:val="auto"/>
        </w:rPr>
        <w:t>Section 8.</w:t>
      </w:r>
      <w:proofErr w:type="gramEnd"/>
      <w:r w:rsidRPr="00082948">
        <w:rPr>
          <w:color w:val="auto"/>
        </w:rPr>
        <w:t xml:space="preserve"> Indemnification</w:t>
      </w:r>
    </w:p>
    <w:p w:rsidR="00E34CAA" w:rsidRPr="00082948" w:rsidRDefault="00E34CAA" w:rsidP="00E86EF5">
      <w:pPr>
        <w:rPr>
          <w:rFonts w:ascii="Arial" w:hAnsi="Arial" w:cs="Arial"/>
          <w:szCs w:val="24"/>
        </w:rPr>
      </w:pPr>
    </w:p>
    <w:p w:rsidR="00E86EF5" w:rsidRPr="00082948" w:rsidRDefault="00E86EF5" w:rsidP="00E86EF5">
      <w:pPr>
        <w:rPr>
          <w:rFonts w:ascii="Arial" w:hAnsi="Arial" w:cs="Arial"/>
          <w:szCs w:val="24"/>
        </w:rPr>
      </w:pPr>
      <w:r w:rsidRPr="00082948">
        <w:rPr>
          <w:rFonts w:ascii="Arial" w:hAnsi="Arial" w:cs="Arial"/>
          <w:szCs w:val="24"/>
        </w:rPr>
        <w:t xml:space="preserve">Vendors </w:t>
      </w:r>
      <w:r w:rsidR="00627675">
        <w:rPr>
          <w:rFonts w:ascii="Arial" w:hAnsi="Arial" w:cs="Arial"/>
          <w:szCs w:val="24"/>
        </w:rPr>
        <w:t>must</w:t>
      </w:r>
      <w:r w:rsidRPr="00082948">
        <w:rPr>
          <w:rFonts w:ascii="Arial" w:hAnsi="Arial" w:cs="Arial"/>
          <w:szCs w:val="24"/>
        </w:rPr>
        <w:t xml:space="preserve"> indemnify, defend, and save harmless DAQ (and by extension, the</w:t>
      </w:r>
    </w:p>
    <w:p w:rsidR="00E86EF5" w:rsidRPr="00082948" w:rsidRDefault="00E86EF5" w:rsidP="00E86EF5">
      <w:pPr>
        <w:rPr>
          <w:rFonts w:ascii="Arial" w:hAnsi="Arial" w:cs="Arial"/>
          <w:szCs w:val="24"/>
        </w:rPr>
      </w:pPr>
      <w:r w:rsidRPr="00082948">
        <w:rPr>
          <w:rFonts w:ascii="Arial" w:hAnsi="Arial" w:cs="Arial"/>
          <w:szCs w:val="24"/>
        </w:rPr>
        <w:t>State of Utah), its officers, agents, and employees from and against any and all liability, claims,damages, losses, expenses, actions, attorneys’ fees, and suits whatsoever caused by or arising out</w:t>
      </w:r>
      <w:r w:rsidR="00DD14DE" w:rsidRPr="00082948">
        <w:rPr>
          <w:rFonts w:ascii="Arial" w:hAnsi="Arial" w:cs="Arial"/>
          <w:szCs w:val="24"/>
        </w:rPr>
        <w:t xml:space="preserve"> </w:t>
      </w:r>
      <w:r w:rsidRPr="00082948">
        <w:rPr>
          <w:rFonts w:ascii="Arial" w:hAnsi="Arial" w:cs="Arial"/>
          <w:szCs w:val="24"/>
        </w:rPr>
        <w:t xml:space="preserve">of the </w:t>
      </w:r>
      <w:r w:rsidR="00573A1E">
        <w:rPr>
          <w:rFonts w:ascii="Arial" w:hAnsi="Arial" w:cs="Arial"/>
          <w:szCs w:val="24"/>
        </w:rPr>
        <w:t>v</w:t>
      </w:r>
      <w:r w:rsidRPr="00082948">
        <w:rPr>
          <w:rFonts w:ascii="Arial" w:hAnsi="Arial" w:cs="Arial"/>
          <w:szCs w:val="24"/>
        </w:rPr>
        <w:t>endors negligent or wrongful performance, acts or omissions under this</w:t>
      </w:r>
      <w:r w:rsidR="00DD14DE" w:rsidRPr="00082948">
        <w:rPr>
          <w:rFonts w:ascii="Arial" w:hAnsi="Arial" w:cs="Arial"/>
          <w:szCs w:val="24"/>
        </w:rPr>
        <w:t xml:space="preserve"> </w:t>
      </w:r>
      <w:r w:rsidRPr="00082948">
        <w:rPr>
          <w:rFonts w:ascii="Arial" w:hAnsi="Arial" w:cs="Arial"/>
          <w:szCs w:val="24"/>
        </w:rPr>
        <w:t xml:space="preserve">agreement, or the </w:t>
      </w:r>
      <w:r w:rsidR="00573A1E">
        <w:rPr>
          <w:rFonts w:ascii="Arial" w:hAnsi="Arial" w:cs="Arial"/>
          <w:szCs w:val="24"/>
        </w:rPr>
        <w:t>v</w:t>
      </w:r>
      <w:r w:rsidRPr="00082948">
        <w:rPr>
          <w:rFonts w:ascii="Arial" w:hAnsi="Arial" w:cs="Arial"/>
          <w:szCs w:val="24"/>
        </w:rPr>
        <w:t>endors failure to comply with any state or federal statute, law,</w:t>
      </w:r>
      <w:r w:rsidR="00DD14DE" w:rsidRPr="00082948">
        <w:rPr>
          <w:rFonts w:ascii="Arial" w:hAnsi="Arial" w:cs="Arial"/>
          <w:szCs w:val="24"/>
        </w:rPr>
        <w:t xml:space="preserve"> </w:t>
      </w:r>
      <w:r w:rsidRPr="00082948">
        <w:rPr>
          <w:rFonts w:ascii="Arial" w:hAnsi="Arial" w:cs="Arial"/>
          <w:szCs w:val="24"/>
        </w:rPr>
        <w:t>regulation or rule. Nothing contained herein shall be deemed to constitute a waiver of DAQ’s(and by extension, the State of Utah’s) sovereign immunity, which is hereby expressly reserved.</w:t>
      </w:r>
    </w:p>
    <w:p w:rsidR="00E34CAA" w:rsidRPr="00082948" w:rsidRDefault="00E34CAA" w:rsidP="00E34CAA">
      <w:pPr>
        <w:pStyle w:val="Heading1"/>
        <w:rPr>
          <w:color w:val="auto"/>
        </w:rPr>
      </w:pPr>
      <w:proofErr w:type="gramStart"/>
      <w:r w:rsidRPr="00082948">
        <w:rPr>
          <w:color w:val="auto"/>
        </w:rPr>
        <w:t>Section 9.</w:t>
      </w:r>
      <w:proofErr w:type="gramEnd"/>
      <w:r w:rsidRPr="00082948">
        <w:rPr>
          <w:color w:val="auto"/>
        </w:rPr>
        <w:t xml:space="preserve"> Termination for Fiscal Necessity</w:t>
      </w:r>
    </w:p>
    <w:p w:rsidR="00E34CAA" w:rsidRPr="00082948" w:rsidRDefault="00E34CAA" w:rsidP="00E34CAA">
      <w:pPr>
        <w:rPr>
          <w:rFonts w:ascii="Arial" w:hAnsi="Arial" w:cs="Arial"/>
          <w:szCs w:val="24"/>
        </w:rPr>
      </w:pPr>
    </w:p>
    <w:p w:rsidR="00E34CAA" w:rsidRPr="00082948" w:rsidRDefault="00E34CAA" w:rsidP="00E34CAA">
      <w:pPr>
        <w:rPr>
          <w:rFonts w:ascii="Arial" w:hAnsi="Arial" w:cs="Arial"/>
          <w:szCs w:val="24"/>
        </w:rPr>
      </w:pPr>
      <w:r w:rsidRPr="00082948">
        <w:rPr>
          <w:rFonts w:ascii="Arial" w:hAnsi="Arial" w:cs="Arial"/>
          <w:szCs w:val="24"/>
        </w:rPr>
        <w:t>DAQ is a government entity, and it is understood and agreed that its payments under th</w:t>
      </w:r>
      <w:r w:rsidR="003D0049" w:rsidRPr="00082948">
        <w:rPr>
          <w:rFonts w:ascii="Arial" w:hAnsi="Arial" w:cs="Arial"/>
          <w:szCs w:val="24"/>
        </w:rPr>
        <w:t xml:space="preserve">is </w:t>
      </w:r>
      <w:r w:rsidRPr="00082948">
        <w:rPr>
          <w:rFonts w:ascii="Arial" w:hAnsi="Arial" w:cs="Arial"/>
          <w:szCs w:val="24"/>
        </w:rPr>
        <w:t xml:space="preserve">agreement shall be </w:t>
      </w:r>
      <w:r w:rsidR="003D0049" w:rsidRPr="00082948">
        <w:rPr>
          <w:rFonts w:ascii="Arial" w:hAnsi="Arial" w:cs="Arial"/>
          <w:szCs w:val="24"/>
        </w:rPr>
        <w:t xml:space="preserve">made </w:t>
      </w:r>
      <w:r w:rsidRPr="00082948">
        <w:rPr>
          <w:rFonts w:ascii="Arial" w:hAnsi="Arial" w:cs="Arial"/>
          <w:szCs w:val="24"/>
        </w:rPr>
        <w:t>from funds granted by the federal government. The federal government</w:t>
      </w:r>
      <w:r w:rsidR="00DD14DE" w:rsidRPr="00082948">
        <w:rPr>
          <w:rFonts w:ascii="Arial" w:hAnsi="Arial" w:cs="Arial"/>
          <w:szCs w:val="24"/>
        </w:rPr>
        <w:t xml:space="preserve"> </w:t>
      </w:r>
      <w:r w:rsidRPr="00082948">
        <w:rPr>
          <w:rFonts w:ascii="Arial" w:hAnsi="Arial" w:cs="Arial"/>
          <w:szCs w:val="24"/>
        </w:rPr>
        <w:t>is not legally obligated to provide funds to fulfill th</w:t>
      </w:r>
      <w:r w:rsidR="003D0049" w:rsidRPr="00082948">
        <w:rPr>
          <w:rFonts w:ascii="Arial" w:hAnsi="Arial" w:cs="Arial"/>
          <w:szCs w:val="24"/>
        </w:rPr>
        <w:t>is agreement. This</w:t>
      </w:r>
      <w:r w:rsidRPr="00082948">
        <w:rPr>
          <w:rFonts w:ascii="Arial" w:hAnsi="Arial" w:cs="Arial"/>
          <w:szCs w:val="24"/>
        </w:rPr>
        <w:t xml:space="preserve"> agreement </w:t>
      </w:r>
      <w:r w:rsidR="00627675">
        <w:rPr>
          <w:rFonts w:ascii="Arial" w:hAnsi="Arial" w:cs="Arial"/>
          <w:szCs w:val="24"/>
        </w:rPr>
        <w:t>may</w:t>
      </w:r>
      <w:r w:rsidRPr="00082948">
        <w:rPr>
          <w:rFonts w:ascii="Arial" w:hAnsi="Arial" w:cs="Arial"/>
          <w:szCs w:val="24"/>
        </w:rPr>
        <w:t xml:space="preserve"> in no way</w:t>
      </w:r>
      <w:r w:rsidR="003D0049" w:rsidRPr="00082948">
        <w:rPr>
          <w:rFonts w:ascii="Arial" w:hAnsi="Arial" w:cs="Arial"/>
          <w:szCs w:val="24"/>
        </w:rPr>
        <w:t xml:space="preserve"> </w:t>
      </w:r>
      <w:r w:rsidRPr="00082948">
        <w:rPr>
          <w:rFonts w:ascii="Arial" w:hAnsi="Arial" w:cs="Arial"/>
          <w:szCs w:val="24"/>
        </w:rPr>
        <w:t>or manner be construed so as to bind or obligate DAQ beyond the term of any particular</w:t>
      </w:r>
      <w:r w:rsidR="003D0049" w:rsidRPr="00082948">
        <w:rPr>
          <w:rFonts w:ascii="Arial" w:hAnsi="Arial" w:cs="Arial"/>
          <w:szCs w:val="24"/>
        </w:rPr>
        <w:t xml:space="preserve"> </w:t>
      </w:r>
      <w:r w:rsidRPr="00082948">
        <w:rPr>
          <w:rFonts w:ascii="Arial" w:hAnsi="Arial" w:cs="Arial"/>
          <w:szCs w:val="24"/>
        </w:rPr>
        <w:t>appropriation of federal funds granted to DAQ. DAQ reserves the right to terminate th</w:t>
      </w:r>
      <w:r w:rsidR="003D0049" w:rsidRPr="00082948">
        <w:rPr>
          <w:rFonts w:ascii="Arial" w:hAnsi="Arial" w:cs="Arial"/>
          <w:szCs w:val="24"/>
        </w:rPr>
        <w:t xml:space="preserve">is </w:t>
      </w:r>
      <w:r w:rsidRPr="00082948">
        <w:rPr>
          <w:rFonts w:ascii="Arial" w:hAnsi="Arial" w:cs="Arial"/>
          <w:szCs w:val="24"/>
        </w:rPr>
        <w:t>agreement in whole or in part (or any order placed under it) if, in its sole judgment, the federal</w:t>
      </w:r>
      <w:r w:rsidR="003D0049" w:rsidRPr="00082948">
        <w:rPr>
          <w:rFonts w:ascii="Arial" w:hAnsi="Arial" w:cs="Arial"/>
          <w:szCs w:val="24"/>
        </w:rPr>
        <w:t xml:space="preserve"> </w:t>
      </w:r>
      <w:r w:rsidRPr="00082948">
        <w:rPr>
          <w:rFonts w:ascii="Arial" w:hAnsi="Arial" w:cs="Arial"/>
          <w:szCs w:val="24"/>
        </w:rPr>
        <w:t xml:space="preserve">government, under the </w:t>
      </w:r>
      <w:proofErr w:type="spellStart"/>
      <w:r w:rsidRPr="00082948">
        <w:rPr>
          <w:rFonts w:ascii="Arial" w:hAnsi="Arial" w:cs="Arial"/>
          <w:szCs w:val="24"/>
        </w:rPr>
        <w:t>Airshed</w:t>
      </w:r>
      <w:proofErr w:type="spellEnd"/>
      <w:r w:rsidRPr="00082948">
        <w:rPr>
          <w:rFonts w:ascii="Arial" w:hAnsi="Arial" w:cs="Arial"/>
          <w:szCs w:val="24"/>
        </w:rPr>
        <w:t xml:space="preserve"> Grant, neglects or refuses to appropriate sufficient</w:t>
      </w:r>
      <w:r w:rsidR="003D0049" w:rsidRPr="00082948">
        <w:rPr>
          <w:rFonts w:ascii="Arial" w:hAnsi="Arial" w:cs="Arial"/>
          <w:szCs w:val="24"/>
        </w:rPr>
        <w:t xml:space="preserve"> </w:t>
      </w:r>
      <w:r w:rsidRPr="00082948">
        <w:rPr>
          <w:rFonts w:ascii="Arial" w:hAnsi="Arial" w:cs="Arial"/>
          <w:szCs w:val="24"/>
        </w:rPr>
        <w:t xml:space="preserve">funds as may be required for DAQ to continue such payments, or requires any return or "giveback"of funds required for DAQ to continue </w:t>
      </w:r>
      <w:r w:rsidR="00C54A38" w:rsidRPr="00082948">
        <w:rPr>
          <w:rFonts w:ascii="Arial" w:hAnsi="Arial" w:cs="Arial"/>
          <w:szCs w:val="24"/>
        </w:rPr>
        <w:t>payments,</w:t>
      </w:r>
      <w:r w:rsidRPr="00082948">
        <w:rPr>
          <w:rFonts w:ascii="Arial" w:hAnsi="Arial" w:cs="Arial"/>
          <w:szCs w:val="24"/>
        </w:rPr>
        <w:t xml:space="preserve"> or if funds are not budgeted or otherwise available (e.g., through</w:t>
      </w:r>
    </w:p>
    <w:p w:rsidR="00E34CAA" w:rsidRPr="00082948" w:rsidRDefault="00E34CAA" w:rsidP="00E34CAA">
      <w:pPr>
        <w:rPr>
          <w:rFonts w:ascii="Arial" w:hAnsi="Arial" w:cs="Arial"/>
          <w:szCs w:val="24"/>
        </w:rPr>
      </w:pPr>
      <w:proofErr w:type="gramStart"/>
      <w:r w:rsidRPr="00082948">
        <w:rPr>
          <w:rFonts w:ascii="Arial" w:hAnsi="Arial" w:cs="Arial"/>
          <w:szCs w:val="24"/>
        </w:rPr>
        <w:t>repeal</w:t>
      </w:r>
      <w:proofErr w:type="gramEnd"/>
      <w:r w:rsidRPr="00082948">
        <w:rPr>
          <w:rFonts w:ascii="Arial" w:hAnsi="Arial" w:cs="Arial"/>
          <w:szCs w:val="24"/>
        </w:rPr>
        <w:t xml:space="preserve"> of enabling legislation), or if DAQ discontinues or makes a material alteration of the</w:t>
      </w:r>
      <w:r w:rsidR="003D0049" w:rsidRPr="00082948">
        <w:rPr>
          <w:rFonts w:ascii="Arial" w:hAnsi="Arial" w:cs="Arial"/>
          <w:szCs w:val="24"/>
        </w:rPr>
        <w:t xml:space="preserve"> </w:t>
      </w:r>
      <w:r w:rsidRPr="00082948">
        <w:rPr>
          <w:rFonts w:ascii="Arial" w:hAnsi="Arial" w:cs="Arial"/>
          <w:szCs w:val="24"/>
        </w:rPr>
        <w:t>program under which funds were provided, or if funds are discontinued.</w:t>
      </w:r>
    </w:p>
    <w:p w:rsidR="00C76121" w:rsidRPr="00082948" w:rsidRDefault="00C76121" w:rsidP="00E34CAA">
      <w:pPr>
        <w:rPr>
          <w:rFonts w:ascii="Arial" w:hAnsi="Arial" w:cs="Arial"/>
          <w:szCs w:val="24"/>
        </w:rPr>
      </w:pPr>
    </w:p>
    <w:p w:rsidR="00583DA6" w:rsidRDefault="00583DA6" w:rsidP="00C76121">
      <w:pPr>
        <w:rPr>
          <w:rFonts w:ascii="Arial" w:hAnsi="Arial" w:cs="Arial"/>
          <w:szCs w:val="24"/>
        </w:rPr>
      </w:pPr>
    </w:p>
    <w:p w:rsidR="00583DA6" w:rsidRDefault="00583DA6" w:rsidP="00C76121">
      <w:pPr>
        <w:rPr>
          <w:rFonts w:ascii="Arial" w:hAnsi="Arial" w:cs="Arial"/>
          <w:szCs w:val="24"/>
        </w:rPr>
      </w:pPr>
    </w:p>
    <w:p w:rsidR="00583DA6" w:rsidRDefault="00583DA6" w:rsidP="00C76121">
      <w:pPr>
        <w:rPr>
          <w:rFonts w:ascii="Arial" w:hAnsi="Arial" w:cs="Arial"/>
          <w:szCs w:val="24"/>
        </w:rPr>
      </w:pPr>
    </w:p>
    <w:p w:rsidR="00583DA6" w:rsidRDefault="00583DA6" w:rsidP="00C76121">
      <w:pPr>
        <w:rPr>
          <w:rFonts w:ascii="Arial" w:hAnsi="Arial" w:cs="Arial"/>
          <w:szCs w:val="24"/>
        </w:rPr>
      </w:pPr>
    </w:p>
    <w:p w:rsidR="00583DA6" w:rsidRDefault="00583DA6" w:rsidP="00C76121">
      <w:pPr>
        <w:rPr>
          <w:rFonts w:ascii="Arial" w:hAnsi="Arial" w:cs="Arial"/>
          <w:szCs w:val="24"/>
        </w:rPr>
      </w:pPr>
    </w:p>
    <w:p w:rsidR="00583DA6" w:rsidRDefault="00583DA6" w:rsidP="00C76121">
      <w:pPr>
        <w:rPr>
          <w:rFonts w:ascii="Arial" w:hAnsi="Arial" w:cs="Arial"/>
          <w:szCs w:val="24"/>
        </w:rPr>
      </w:pPr>
    </w:p>
    <w:p w:rsidR="00C76121" w:rsidRPr="00082948" w:rsidRDefault="00C76121" w:rsidP="00C76121">
      <w:pPr>
        <w:rPr>
          <w:rFonts w:ascii="Arial" w:hAnsi="Arial" w:cs="Arial"/>
          <w:szCs w:val="24"/>
        </w:rPr>
      </w:pPr>
      <w:r w:rsidRPr="00082948">
        <w:rPr>
          <w:rFonts w:ascii="Arial" w:hAnsi="Arial" w:cs="Arial"/>
          <w:szCs w:val="24"/>
        </w:rPr>
        <w:t xml:space="preserve">THIS AGREEMENT </w:t>
      </w:r>
      <w:r w:rsidR="00627675">
        <w:rPr>
          <w:rFonts w:ascii="Arial" w:hAnsi="Arial" w:cs="Arial"/>
          <w:szCs w:val="24"/>
        </w:rPr>
        <w:t>will</w:t>
      </w:r>
      <w:r w:rsidRPr="00082948">
        <w:rPr>
          <w:rFonts w:ascii="Arial" w:hAnsi="Arial" w:cs="Arial"/>
          <w:szCs w:val="24"/>
        </w:rPr>
        <w:t xml:space="preserve"> commence on the date of the final signature included below and</w:t>
      </w:r>
      <w:r w:rsidR="003D0049" w:rsidRPr="00082948">
        <w:rPr>
          <w:rFonts w:ascii="Arial" w:hAnsi="Arial" w:cs="Arial"/>
          <w:szCs w:val="24"/>
        </w:rPr>
        <w:t xml:space="preserve"> </w:t>
      </w:r>
      <w:r w:rsidRPr="00082948">
        <w:rPr>
          <w:rFonts w:ascii="Arial" w:hAnsi="Arial" w:cs="Arial"/>
          <w:szCs w:val="24"/>
        </w:rPr>
        <w:t xml:space="preserve">continue until DAQ notifies </w:t>
      </w:r>
      <w:r w:rsidR="003D0049" w:rsidRPr="00082948">
        <w:rPr>
          <w:rFonts w:ascii="Arial" w:hAnsi="Arial" w:cs="Arial"/>
          <w:szCs w:val="24"/>
        </w:rPr>
        <w:t>v</w:t>
      </w:r>
      <w:r w:rsidRPr="00082948">
        <w:rPr>
          <w:rFonts w:ascii="Arial" w:hAnsi="Arial" w:cs="Arial"/>
          <w:szCs w:val="24"/>
        </w:rPr>
        <w:t xml:space="preserve">endors that funds are </w:t>
      </w:r>
      <w:r w:rsidR="003D0049" w:rsidRPr="00082948">
        <w:rPr>
          <w:rFonts w:ascii="Arial" w:hAnsi="Arial" w:cs="Arial"/>
          <w:szCs w:val="24"/>
        </w:rPr>
        <w:t xml:space="preserve">soon </w:t>
      </w:r>
      <w:r w:rsidRPr="00082948">
        <w:rPr>
          <w:rFonts w:ascii="Arial" w:hAnsi="Arial" w:cs="Arial"/>
          <w:szCs w:val="24"/>
        </w:rPr>
        <w:t xml:space="preserve">to be exhausted, unless notified in writing </w:t>
      </w:r>
      <w:r w:rsidR="00DD14DE" w:rsidRPr="00082948">
        <w:rPr>
          <w:rFonts w:ascii="Arial" w:hAnsi="Arial" w:cs="Arial"/>
          <w:szCs w:val="24"/>
        </w:rPr>
        <w:t>otherwise</w:t>
      </w:r>
      <w:r w:rsidRPr="00082948">
        <w:rPr>
          <w:rFonts w:ascii="Arial" w:hAnsi="Arial" w:cs="Arial"/>
          <w:szCs w:val="24"/>
        </w:rPr>
        <w:t>, as executed by the</w:t>
      </w:r>
      <w:r w:rsidR="003D0049" w:rsidRPr="00082948">
        <w:rPr>
          <w:rFonts w:ascii="Arial" w:hAnsi="Arial" w:cs="Arial"/>
          <w:szCs w:val="24"/>
        </w:rPr>
        <w:t xml:space="preserve"> </w:t>
      </w:r>
      <w:r w:rsidRPr="00082948">
        <w:rPr>
          <w:rFonts w:ascii="Arial" w:hAnsi="Arial" w:cs="Arial"/>
          <w:szCs w:val="24"/>
        </w:rPr>
        <w:t xml:space="preserve">persons signing below, who </w:t>
      </w:r>
      <w:r w:rsidR="003D0049" w:rsidRPr="00082948">
        <w:rPr>
          <w:rFonts w:ascii="Arial" w:hAnsi="Arial" w:cs="Arial"/>
          <w:szCs w:val="24"/>
        </w:rPr>
        <w:t>certify that</w:t>
      </w:r>
      <w:r w:rsidRPr="00082948">
        <w:rPr>
          <w:rFonts w:ascii="Arial" w:hAnsi="Arial" w:cs="Arial"/>
          <w:szCs w:val="24"/>
        </w:rPr>
        <w:t xml:space="preserve"> they have the authority to execute a legally binding</w:t>
      </w:r>
      <w:r w:rsidR="003D0049" w:rsidRPr="00082948">
        <w:rPr>
          <w:rFonts w:ascii="Arial" w:hAnsi="Arial" w:cs="Arial"/>
          <w:szCs w:val="24"/>
        </w:rPr>
        <w:t xml:space="preserve"> </w:t>
      </w:r>
      <w:r w:rsidRPr="00082948">
        <w:rPr>
          <w:rFonts w:ascii="Arial" w:hAnsi="Arial" w:cs="Arial"/>
          <w:szCs w:val="24"/>
        </w:rPr>
        <w:t>agreement.</w:t>
      </w:r>
    </w:p>
    <w:p w:rsidR="00C76121" w:rsidRPr="00082948" w:rsidRDefault="00C76121" w:rsidP="00C76121">
      <w:pPr>
        <w:rPr>
          <w:rFonts w:ascii="Arial" w:hAnsi="Arial" w:cs="Arial"/>
          <w:szCs w:val="24"/>
        </w:rPr>
      </w:pPr>
    </w:p>
    <w:p w:rsidR="00C76121" w:rsidRPr="00082948" w:rsidRDefault="00C76121" w:rsidP="00C76121">
      <w:pPr>
        <w:rPr>
          <w:rFonts w:ascii="Arial" w:hAnsi="Arial" w:cs="Arial"/>
          <w:szCs w:val="24"/>
        </w:rPr>
      </w:pPr>
      <w:r w:rsidRPr="00082948">
        <w:rPr>
          <w:rFonts w:ascii="Arial" w:hAnsi="Arial" w:cs="Arial"/>
          <w:szCs w:val="24"/>
        </w:rPr>
        <w:t>Vendor Name: ______________</w:t>
      </w:r>
      <w:r w:rsidR="00441527" w:rsidRPr="00082948">
        <w:rPr>
          <w:rFonts w:ascii="Arial" w:hAnsi="Arial" w:cs="Arial"/>
          <w:szCs w:val="24"/>
        </w:rPr>
        <w:t>______________</w:t>
      </w:r>
      <w:r w:rsidRPr="00082948">
        <w:rPr>
          <w:rFonts w:ascii="Arial" w:hAnsi="Arial" w:cs="Arial"/>
          <w:szCs w:val="24"/>
        </w:rPr>
        <w:t>_____</w:t>
      </w:r>
    </w:p>
    <w:p w:rsidR="00C76121" w:rsidRPr="00082948" w:rsidRDefault="00C76121" w:rsidP="00C76121">
      <w:pPr>
        <w:rPr>
          <w:rFonts w:ascii="Arial" w:hAnsi="Arial" w:cs="Arial"/>
          <w:szCs w:val="24"/>
        </w:rPr>
      </w:pPr>
      <w:r w:rsidRPr="00082948">
        <w:rPr>
          <w:rFonts w:ascii="Arial" w:hAnsi="Arial" w:cs="Arial"/>
          <w:szCs w:val="24"/>
        </w:rPr>
        <w:t xml:space="preserve">Vendor </w:t>
      </w:r>
      <w:r w:rsidR="00441527" w:rsidRPr="00082948">
        <w:rPr>
          <w:rFonts w:ascii="Arial" w:hAnsi="Arial" w:cs="Arial"/>
          <w:szCs w:val="24"/>
        </w:rPr>
        <w:t xml:space="preserve">Authorized </w:t>
      </w:r>
      <w:r w:rsidRPr="00082948">
        <w:rPr>
          <w:rFonts w:ascii="Arial" w:hAnsi="Arial" w:cs="Arial"/>
          <w:szCs w:val="24"/>
        </w:rPr>
        <w:t>Representative: __________</w:t>
      </w:r>
      <w:r w:rsidR="00441527" w:rsidRPr="00082948">
        <w:rPr>
          <w:rFonts w:ascii="Arial" w:hAnsi="Arial" w:cs="Arial"/>
          <w:szCs w:val="24"/>
        </w:rPr>
        <w:t>__________</w:t>
      </w:r>
      <w:r w:rsidRPr="00082948">
        <w:rPr>
          <w:rFonts w:ascii="Arial" w:hAnsi="Arial" w:cs="Arial"/>
          <w:szCs w:val="24"/>
        </w:rPr>
        <w:t>___</w:t>
      </w:r>
    </w:p>
    <w:p w:rsidR="00C76121" w:rsidRPr="00082948" w:rsidRDefault="00C76121" w:rsidP="00C76121">
      <w:pPr>
        <w:rPr>
          <w:rFonts w:ascii="Arial" w:hAnsi="Arial" w:cs="Arial"/>
          <w:szCs w:val="24"/>
        </w:rPr>
      </w:pPr>
      <w:r w:rsidRPr="00082948">
        <w:rPr>
          <w:rFonts w:ascii="Arial" w:hAnsi="Arial" w:cs="Arial"/>
          <w:szCs w:val="24"/>
        </w:rPr>
        <w:t>Vendor Address/Phone/E-Mail</w:t>
      </w:r>
    </w:p>
    <w:p w:rsidR="00C76121" w:rsidRPr="00082948" w:rsidRDefault="00C76121" w:rsidP="00C76121">
      <w:pPr>
        <w:rPr>
          <w:rFonts w:ascii="Arial" w:hAnsi="Arial" w:cs="Arial"/>
          <w:szCs w:val="24"/>
        </w:rPr>
      </w:pPr>
      <w:r w:rsidRPr="00082948">
        <w:rPr>
          <w:rFonts w:ascii="Arial" w:hAnsi="Arial" w:cs="Arial"/>
          <w:szCs w:val="24"/>
        </w:rPr>
        <w:t>__________________________</w:t>
      </w:r>
    </w:p>
    <w:p w:rsidR="00C76121" w:rsidRPr="00082948" w:rsidRDefault="00C76121" w:rsidP="00C76121">
      <w:pPr>
        <w:rPr>
          <w:rFonts w:ascii="Arial" w:hAnsi="Arial" w:cs="Arial"/>
          <w:szCs w:val="24"/>
        </w:rPr>
      </w:pPr>
      <w:r w:rsidRPr="00082948">
        <w:rPr>
          <w:rFonts w:ascii="Arial" w:hAnsi="Arial" w:cs="Arial"/>
          <w:szCs w:val="24"/>
        </w:rPr>
        <w:t>__________________________</w:t>
      </w:r>
    </w:p>
    <w:p w:rsidR="00C76121" w:rsidRPr="00082948" w:rsidRDefault="00C76121" w:rsidP="00C76121">
      <w:pPr>
        <w:rPr>
          <w:rFonts w:ascii="Arial" w:hAnsi="Arial" w:cs="Arial"/>
          <w:szCs w:val="24"/>
        </w:rPr>
      </w:pPr>
      <w:r w:rsidRPr="00082948">
        <w:rPr>
          <w:rFonts w:ascii="Arial" w:hAnsi="Arial" w:cs="Arial"/>
          <w:szCs w:val="24"/>
        </w:rPr>
        <w:t>__________________________</w:t>
      </w:r>
    </w:p>
    <w:p w:rsidR="00C76121" w:rsidRPr="00082948" w:rsidRDefault="00C76121" w:rsidP="00C76121">
      <w:pPr>
        <w:rPr>
          <w:rFonts w:ascii="Arial" w:hAnsi="Arial" w:cs="Arial"/>
          <w:szCs w:val="24"/>
        </w:rPr>
      </w:pPr>
    </w:p>
    <w:p w:rsidR="009F182F" w:rsidRDefault="009F182F" w:rsidP="009F182F">
      <w:pPr>
        <w:rPr>
          <w:rFonts w:ascii="Arial" w:hAnsi="Arial" w:cs="Arial"/>
          <w:szCs w:val="24"/>
        </w:rPr>
      </w:pPr>
      <w:r w:rsidRPr="00082948">
        <w:rPr>
          <w:rFonts w:ascii="Arial" w:hAnsi="Arial" w:cs="Arial"/>
          <w:szCs w:val="24"/>
        </w:rPr>
        <w:t>Select all that apply:</w:t>
      </w:r>
    </w:p>
    <w:p w:rsidR="00DE2DAD" w:rsidRPr="00082948" w:rsidRDefault="00DE2DAD" w:rsidP="009F182F">
      <w:pPr>
        <w:rPr>
          <w:rFonts w:ascii="Arial" w:hAnsi="Arial" w:cs="Arial"/>
          <w:szCs w:val="24"/>
        </w:rPr>
      </w:pPr>
    </w:p>
    <w:p w:rsidR="009F182F" w:rsidRPr="00082948" w:rsidRDefault="009F182F" w:rsidP="009F182F">
      <w:pPr>
        <w:rPr>
          <w:rFonts w:ascii="Arial" w:hAnsi="Arial" w:cs="Arial"/>
          <w:szCs w:val="24"/>
        </w:rPr>
      </w:pPr>
      <w:r w:rsidRPr="00082948">
        <w:rPr>
          <w:rFonts w:ascii="Arial" w:hAnsi="Arial" w:cs="Arial"/>
          <w:szCs w:val="24"/>
        </w:rPr>
        <w:t>□ I wish to participate in Tier 1: conversion to gas appliance</w:t>
      </w:r>
    </w:p>
    <w:p w:rsidR="009F182F" w:rsidRPr="00082948" w:rsidRDefault="009F182F" w:rsidP="009F182F">
      <w:pPr>
        <w:rPr>
          <w:rFonts w:ascii="Arial" w:hAnsi="Arial" w:cs="Arial"/>
          <w:szCs w:val="24"/>
        </w:rPr>
      </w:pPr>
    </w:p>
    <w:p w:rsidR="009F182F" w:rsidRPr="00082948" w:rsidRDefault="009F182F" w:rsidP="009F182F">
      <w:pPr>
        <w:rPr>
          <w:rFonts w:ascii="Arial" w:hAnsi="Arial" w:cs="Arial"/>
          <w:szCs w:val="24"/>
        </w:rPr>
      </w:pPr>
      <w:r w:rsidRPr="00082948">
        <w:rPr>
          <w:rFonts w:ascii="Arial" w:hAnsi="Arial" w:cs="Arial"/>
          <w:szCs w:val="24"/>
        </w:rPr>
        <w:t>□ I wish to participate in Tier 2: change-out to EPA certified stove</w:t>
      </w:r>
    </w:p>
    <w:p w:rsidR="009F182F" w:rsidRPr="00082948" w:rsidRDefault="009F182F" w:rsidP="009F182F">
      <w:pPr>
        <w:rPr>
          <w:rFonts w:ascii="Arial" w:hAnsi="Arial" w:cs="Arial"/>
          <w:szCs w:val="24"/>
        </w:rPr>
      </w:pPr>
    </w:p>
    <w:p w:rsidR="009F182F" w:rsidRPr="00082948" w:rsidRDefault="009F182F" w:rsidP="009F182F">
      <w:pPr>
        <w:rPr>
          <w:rFonts w:ascii="Arial" w:hAnsi="Arial" w:cs="Arial"/>
          <w:szCs w:val="24"/>
        </w:rPr>
      </w:pPr>
      <w:r w:rsidRPr="00082948">
        <w:rPr>
          <w:rFonts w:ascii="Arial" w:hAnsi="Arial" w:cs="Arial"/>
          <w:szCs w:val="24"/>
        </w:rPr>
        <w:t>□ I wish to participate in Tier 3: bounty of any wood stove.</w:t>
      </w:r>
    </w:p>
    <w:p w:rsidR="009F182F" w:rsidRPr="00082948" w:rsidRDefault="009F182F" w:rsidP="00C76121">
      <w:pPr>
        <w:rPr>
          <w:rFonts w:ascii="Arial" w:hAnsi="Arial" w:cs="Arial"/>
          <w:szCs w:val="24"/>
        </w:rPr>
      </w:pPr>
    </w:p>
    <w:p w:rsidR="009F182F" w:rsidRPr="00082948" w:rsidRDefault="009F182F" w:rsidP="00C76121">
      <w:pPr>
        <w:rPr>
          <w:rFonts w:ascii="Arial" w:hAnsi="Arial" w:cs="Arial"/>
          <w:szCs w:val="24"/>
        </w:rPr>
      </w:pPr>
    </w:p>
    <w:p w:rsidR="00C76121" w:rsidRPr="00082948" w:rsidRDefault="00C76121" w:rsidP="00C76121">
      <w:pPr>
        <w:rPr>
          <w:rFonts w:ascii="Arial" w:hAnsi="Arial" w:cs="Arial"/>
          <w:szCs w:val="24"/>
        </w:rPr>
      </w:pPr>
      <w:r w:rsidRPr="00082948">
        <w:rPr>
          <w:rFonts w:ascii="Arial" w:hAnsi="Arial" w:cs="Arial"/>
          <w:szCs w:val="24"/>
        </w:rPr>
        <w:t>By</w:t>
      </w:r>
      <w:proofErr w:type="gramStart"/>
      <w:r w:rsidRPr="00082948">
        <w:rPr>
          <w:rFonts w:ascii="Arial" w:hAnsi="Arial" w:cs="Arial"/>
          <w:szCs w:val="24"/>
        </w:rPr>
        <w:t>:_</w:t>
      </w:r>
      <w:proofErr w:type="gramEnd"/>
      <w:r w:rsidRPr="00082948">
        <w:rPr>
          <w:rFonts w:ascii="Arial" w:hAnsi="Arial" w:cs="Arial"/>
          <w:szCs w:val="24"/>
        </w:rPr>
        <w:t>______________________</w:t>
      </w:r>
    </w:p>
    <w:p w:rsidR="00C76121" w:rsidRPr="00082948" w:rsidRDefault="003D0049" w:rsidP="00C76121">
      <w:pPr>
        <w:rPr>
          <w:rFonts w:ascii="Arial" w:hAnsi="Arial" w:cs="Arial"/>
          <w:szCs w:val="24"/>
        </w:rPr>
      </w:pPr>
      <w:r w:rsidRPr="00082948">
        <w:rPr>
          <w:rFonts w:ascii="Arial" w:hAnsi="Arial" w:cs="Arial"/>
          <w:szCs w:val="24"/>
        </w:rPr>
        <w:t>Bryce Bird</w:t>
      </w:r>
    </w:p>
    <w:p w:rsidR="00C76121" w:rsidRPr="00082948" w:rsidRDefault="003D0049" w:rsidP="00C76121">
      <w:pPr>
        <w:rPr>
          <w:rFonts w:ascii="Arial" w:hAnsi="Arial" w:cs="Arial"/>
          <w:szCs w:val="24"/>
        </w:rPr>
      </w:pPr>
      <w:r w:rsidRPr="00082948">
        <w:rPr>
          <w:rFonts w:ascii="Arial" w:hAnsi="Arial" w:cs="Arial"/>
          <w:szCs w:val="24"/>
        </w:rPr>
        <w:t>Division of Air Quality</w:t>
      </w:r>
    </w:p>
    <w:p w:rsidR="00C76121" w:rsidRPr="00082948" w:rsidRDefault="00C76121" w:rsidP="00C76121">
      <w:pPr>
        <w:rPr>
          <w:rFonts w:ascii="Arial" w:hAnsi="Arial" w:cs="Arial"/>
          <w:szCs w:val="24"/>
        </w:rPr>
      </w:pPr>
      <w:r w:rsidRPr="00082948">
        <w:rPr>
          <w:rFonts w:ascii="Arial" w:hAnsi="Arial" w:cs="Arial"/>
          <w:szCs w:val="24"/>
        </w:rPr>
        <w:t>D</w:t>
      </w:r>
      <w:r w:rsidR="003D0049" w:rsidRPr="00082948">
        <w:rPr>
          <w:rFonts w:ascii="Arial" w:hAnsi="Arial" w:cs="Arial"/>
          <w:szCs w:val="24"/>
        </w:rPr>
        <w:t>irector</w:t>
      </w:r>
      <w:r w:rsidRPr="00082948">
        <w:rPr>
          <w:rFonts w:ascii="Arial" w:hAnsi="Arial" w:cs="Arial"/>
          <w:szCs w:val="24"/>
        </w:rPr>
        <w:t xml:space="preserve"> </w:t>
      </w:r>
    </w:p>
    <w:p w:rsidR="00C76121" w:rsidRPr="00082948" w:rsidRDefault="00C76121" w:rsidP="00C76121">
      <w:pPr>
        <w:rPr>
          <w:rFonts w:ascii="Arial" w:hAnsi="Arial" w:cs="Arial"/>
          <w:szCs w:val="24"/>
        </w:rPr>
      </w:pPr>
      <w:r w:rsidRPr="00082948">
        <w:rPr>
          <w:rFonts w:ascii="Arial" w:hAnsi="Arial" w:cs="Arial"/>
          <w:szCs w:val="24"/>
        </w:rPr>
        <w:t>Date: ______________</w:t>
      </w:r>
    </w:p>
    <w:p w:rsidR="00C76121" w:rsidRPr="00082948" w:rsidRDefault="00C76121" w:rsidP="00C76121">
      <w:pPr>
        <w:rPr>
          <w:rFonts w:ascii="Arial" w:hAnsi="Arial" w:cs="Arial"/>
          <w:szCs w:val="24"/>
        </w:rPr>
      </w:pPr>
    </w:p>
    <w:p w:rsidR="00C76121" w:rsidRPr="00082948" w:rsidRDefault="00C76121" w:rsidP="00C76121">
      <w:pPr>
        <w:rPr>
          <w:rFonts w:ascii="Arial" w:hAnsi="Arial" w:cs="Arial"/>
          <w:szCs w:val="24"/>
        </w:rPr>
      </w:pPr>
      <w:r w:rsidRPr="00082948">
        <w:rPr>
          <w:rFonts w:ascii="Arial" w:hAnsi="Arial" w:cs="Arial"/>
          <w:szCs w:val="24"/>
        </w:rPr>
        <w:t xml:space="preserve">By:_______________________ </w:t>
      </w:r>
    </w:p>
    <w:p w:rsidR="00C76121" w:rsidRPr="00082948" w:rsidRDefault="00C76121" w:rsidP="00C76121">
      <w:pPr>
        <w:rPr>
          <w:rFonts w:ascii="Arial" w:hAnsi="Arial" w:cs="Arial"/>
          <w:szCs w:val="24"/>
        </w:rPr>
      </w:pPr>
      <w:r w:rsidRPr="00082948">
        <w:rPr>
          <w:rFonts w:ascii="Arial" w:hAnsi="Arial" w:cs="Arial"/>
          <w:szCs w:val="24"/>
        </w:rPr>
        <w:t xml:space="preserve">Vendor </w:t>
      </w:r>
      <w:r w:rsidR="00441527" w:rsidRPr="00082948">
        <w:rPr>
          <w:rFonts w:ascii="Arial" w:hAnsi="Arial" w:cs="Arial"/>
          <w:szCs w:val="24"/>
        </w:rPr>
        <w:t xml:space="preserve">Authorized </w:t>
      </w:r>
      <w:r w:rsidRPr="00082948">
        <w:rPr>
          <w:rFonts w:ascii="Arial" w:hAnsi="Arial" w:cs="Arial"/>
          <w:szCs w:val="24"/>
        </w:rPr>
        <w:t>Representative Signature</w:t>
      </w:r>
    </w:p>
    <w:p w:rsidR="00C76121" w:rsidRPr="00082948" w:rsidRDefault="00C76121" w:rsidP="00C76121">
      <w:pPr>
        <w:rPr>
          <w:rFonts w:ascii="Arial" w:hAnsi="Arial" w:cs="Arial"/>
          <w:szCs w:val="24"/>
        </w:rPr>
      </w:pPr>
      <w:r w:rsidRPr="00082948">
        <w:rPr>
          <w:rFonts w:ascii="Arial" w:hAnsi="Arial" w:cs="Arial"/>
          <w:szCs w:val="24"/>
        </w:rPr>
        <w:t>Title: ___________________</w:t>
      </w:r>
    </w:p>
    <w:p w:rsidR="00C76121" w:rsidRPr="00082948" w:rsidRDefault="00C76121" w:rsidP="00C76121">
      <w:pPr>
        <w:rPr>
          <w:rFonts w:ascii="Arial" w:hAnsi="Arial" w:cs="Arial"/>
          <w:szCs w:val="24"/>
        </w:rPr>
      </w:pPr>
      <w:r w:rsidRPr="00082948">
        <w:rPr>
          <w:rFonts w:ascii="Arial" w:hAnsi="Arial" w:cs="Arial"/>
          <w:szCs w:val="24"/>
        </w:rPr>
        <w:t>Date: ______________</w:t>
      </w:r>
    </w:p>
    <w:sectPr w:rsidR="00C76121" w:rsidRPr="00082948" w:rsidSect="00082948">
      <w:footerReference w:type="default" r:id="rId8"/>
      <w:pgSz w:w="12240" w:h="15840"/>
      <w:pgMar w:top="720" w:right="1440" w:bottom="1440" w:left="1440" w:header="720" w:footer="3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70" w:rsidRDefault="00812370" w:rsidP="00082948">
      <w:r>
        <w:separator/>
      </w:r>
    </w:p>
  </w:endnote>
  <w:endnote w:type="continuationSeparator" w:id="0">
    <w:p w:rsidR="00812370" w:rsidRDefault="00812370" w:rsidP="00082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378920"/>
      <w:docPartObj>
        <w:docPartGallery w:val="Page Numbers (Bottom of Page)"/>
        <w:docPartUnique/>
      </w:docPartObj>
    </w:sdtPr>
    <w:sdtEndPr>
      <w:rPr>
        <w:noProof/>
      </w:rPr>
    </w:sdtEndPr>
    <w:sdtContent>
      <w:p w:rsidR="00DE2DAD" w:rsidRDefault="00DE2DAD">
        <w:pPr>
          <w:pStyle w:val="Footer"/>
        </w:pPr>
        <w:r>
          <w:t xml:space="preserve">Page </w:t>
        </w:r>
        <w:r w:rsidR="00071334">
          <w:fldChar w:fldCharType="begin"/>
        </w:r>
        <w:r>
          <w:instrText xml:space="preserve"> PAGE   \* MERGEFORMAT </w:instrText>
        </w:r>
        <w:r w:rsidR="00071334">
          <w:fldChar w:fldCharType="separate"/>
        </w:r>
        <w:r w:rsidR="00805CEC">
          <w:rPr>
            <w:noProof/>
          </w:rPr>
          <w:t>1</w:t>
        </w:r>
        <w:r w:rsidR="00071334">
          <w:rPr>
            <w:noProof/>
          </w:rPr>
          <w:fldChar w:fldCharType="end"/>
        </w:r>
        <w:r>
          <w:rPr>
            <w:noProof/>
          </w:rPr>
          <w:t xml:space="preserve"> DAQ Vendor Agreement</w:t>
        </w:r>
      </w:p>
    </w:sdtContent>
  </w:sdt>
  <w:p w:rsidR="00DE2DAD" w:rsidRDefault="00DE2DAD" w:rsidP="0008294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70" w:rsidRDefault="00812370" w:rsidP="00082948">
      <w:r>
        <w:separator/>
      </w:r>
    </w:p>
  </w:footnote>
  <w:footnote w:type="continuationSeparator" w:id="0">
    <w:p w:rsidR="00812370" w:rsidRDefault="00812370" w:rsidP="00082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E32"/>
    <w:multiLevelType w:val="hybridMultilevel"/>
    <w:tmpl w:val="F7E2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50C43"/>
    <w:multiLevelType w:val="hybridMultilevel"/>
    <w:tmpl w:val="199837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D3C3D"/>
    <w:multiLevelType w:val="hybridMultilevel"/>
    <w:tmpl w:val="46F0C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011E70"/>
    <w:multiLevelType w:val="hybridMultilevel"/>
    <w:tmpl w:val="E82441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D227976"/>
    <w:multiLevelType w:val="hybridMultilevel"/>
    <w:tmpl w:val="06BE1AA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37051"/>
    <w:rsid w:val="00007CCC"/>
    <w:rsid w:val="000524FC"/>
    <w:rsid w:val="00071334"/>
    <w:rsid w:val="00082948"/>
    <w:rsid w:val="000857A3"/>
    <w:rsid w:val="00152204"/>
    <w:rsid w:val="00174F6F"/>
    <w:rsid w:val="00175511"/>
    <w:rsid w:val="0018782B"/>
    <w:rsid w:val="001A130A"/>
    <w:rsid w:val="00201EBF"/>
    <w:rsid w:val="00212948"/>
    <w:rsid w:val="0024531B"/>
    <w:rsid w:val="00250BEC"/>
    <w:rsid w:val="00261517"/>
    <w:rsid w:val="002C4EFE"/>
    <w:rsid w:val="003D0049"/>
    <w:rsid w:val="003E71FC"/>
    <w:rsid w:val="004175A6"/>
    <w:rsid w:val="00421504"/>
    <w:rsid w:val="00441527"/>
    <w:rsid w:val="00444ADA"/>
    <w:rsid w:val="004B2606"/>
    <w:rsid w:val="004E0AFF"/>
    <w:rsid w:val="0050747F"/>
    <w:rsid w:val="00540787"/>
    <w:rsid w:val="00555D3E"/>
    <w:rsid w:val="00573A1E"/>
    <w:rsid w:val="00583DA6"/>
    <w:rsid w:val="005C5195"/>
    <w:rsid w:val="00616112"/>
    <w:rsid w:val="00627675"/>
    <w:rsid w:val="00631044"/>
    <w:rsid w:val="00637051"/>
    <w:rsid w:val="00655B3B"/>
    <w:rsid w:val="006A77F4"/>
    <w:rsid w:val="006B67FD"/>
    <w:rsid w:val="006E2925"/>
    <w:rsid w:val="007166B3"/>
    <w:rsid w:val="0075633F"/>
    <w:rsid w:val="00804214"/>
    <w:rsid w:val="00805CEC"/>
    <w:rsid w:val="00812370"/>
    <w:rsid w:val="00843186"/>
    <w:rsid w:val="00847BF6"/>
    <w:rsid w:val="00871422"/>
    <w:rsid w:val="008D35DD"/>
    <w:rsid w:val="0090242D"/>
    <w:rsid w:val="00903C61"/>
    <w:rsid w:val="00935185"/>
    <w:rsid w:val="0095045E"/>
    <w:rsid w:val="009F182F"/>
    <w:rsid w:val="00A03BBB"/>
    <w:rsid w:val="00B04E6C"/>
    <w:rsid w:val="00B73655"/>
    <w:rsid w:val="00BA2CE9"/>
    <w:rsid w:val="00BC281B"/>
    <w:rsid w:val="00C45877"/>
    <w:rsid w:val="00C54A38"/>
    <w:rsid w:val="00C76121"/>
    <w:rsid w:val="00CA3A4B"/>
    <w:rsid w:val="00D723E9"/>
    <w:rsid w:val="00DA1E05"/>
    <w:rsid w:val="00DC34E6"/>
    <w:rsid w:val="00DD14DE"/>
    <w:rsid w:val="00DE2DAD"/>
    <w:rsid w:val="00DF0454"/>
    <w:rsid w:val="00E173C5"/>
    <w:rsid w:val="00E34CAA"/>
    <w:rsid w:val="00E579BF"/>
    <w:rsid w:val="00E86EF5"/>
    <w:rsid w:val="00EB1FD5"/>
    <w:rsid w:val="00EE5621"/>
    <w:rsid w:val="00F02700"/>
    <w:rsid w:val="00F03710"/>
    <w:rsid w:val="00F46D90"/>
    <w:rsid w:val="00FC013D"/>
    <w:rsid w:val="00FD6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51"/>
    <w:pPr>
      <w:widowControl w:val="0"/>
    </w:pPr>
    <w:rPr>
      <w:rFonts w:ascii="Courier" w:eastAsia="Times New Roman" w:hAnsi="Courier" w:cs="Times New Roman"/>
      <w:snapToGrid w:val="0"/>
      <w:szCs w:val="20"/>
    </w:rPr>
  </w:style>
  <w:style w:type="paragraph" w:styleId="Heading1">
    <w:name w:val="heading 1"/>
    <w:basedOn w:val="Normal"/>
    <w:next w:val="Normal"/>
    <w:link w:val="Heading1Char"/>
    <w:uiPriority w:val="9"/>
    <w:qFormat/>
    <w:rsid w:val="00E57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51"/>
    <w:rPr>
      <w:rFonts w:ascii="Tahoma" w:hAnsi="Tahoma" w:cs="Tahoma"/>
      <w:sz w:val="16"/>
      <w:szCs w:val="16"/>
    </w:rPr>
  </w:style>
  <w:style w:type="character" w:customStyle="1" w:styleId="BalloonTextChar">
    <w:name w:val="Balloon Text Char"/>
    <w:basedOn w:val="DefaultParagraphFont"/>
    <w:link w:val="BalloonText"/>
    <w:uiPriority w:val="99"/>
    <w:semiHidden/>
    <w:rsid w:val="00637051"/>
    <w:rPr>
      <w:rFonts w:ascii="Tahoma" w:hAnsi="Tahoma" w:cs="Tahoma"/>
      <w:sz w:val="16"/>
      <w:szCs w:val="16"/>
    </w:rPr>
  </w:style>
  <w:style w:type="paragraph" w:styleId="ListParagraph">
    <w:name w:val="List Paragraph"/>
    <w:basedOn w:val="Normal"/>
    <w:uiPriority w:val="34"/>
    <w:qFormat/>
    <w:rsid w:val="00152204"/>
    <w:pPr>
      <w:ind w:left="720"/>
      <w:contextualSpacing/>
    </w:pPr>
  </w:style>
  <w:style w:type="table" w:customStyle="1" w:styleId="LightGrid1">
    <w:name w:val="Light Grid1"/>
    <w:basedOn w:val="TableNormal"/>
    <w:uiPriority w:val="62"/>
    <w:rsid w:val="00616112"/>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E579BF"/>
    <w:rPr>
      <w:rFonts w:asciiTheme="majorHAnsi" w:eastAsiaTheme="majorEastAsia" w:hAnsiTheme="majorHAnsi" w:cstheme="majorBidi"/>
      <w:b/>
      <w:bCs/>
      <w:snapToGrid w:val="0"/>
      <w:color w:val="365F91" w:themeColor="accent1" w:themeShade="BF"/>
      <w:sz w:val="28"/>
      <w:szCs w:val="28"/>
    </w:rPr>
  </w:style>
  <w:style w:type="character" w:styleId="CommentReference">
    <w:name w:val="annotation reference"/>
    <w:basedOn w:val="DefaultParagraphFont"/>
    <w:uiPriority w:val="99"/>
    <w:semiHidden/>
    <w:unhideWhenUsed/>
    <w:rsid w:val="00843186"/>
    <w:rPr>
      <w:sz w:val="16"/>
      <w:szCs w:val="16"/>
    </w:rPr>
  </w:style>
  <w:style w:type="paragraph" w:styleId="CommentText">
    <w:name w:val="annotation text"/>
    <w:basedOn w:val="Normal"/>
    <w:link w:val="CommentTextChar"/>
    <w:uiPriority w:val="99"/>
    <w:semiHidden/>
    <w:unhideWhenUsed/>
    <w:rsid w:val="00843186"/>
    <w:rPr>
      <w:sz w:val="20"/>
    </w:rPr>
  </w:style>
  <w:style w:type="character" w:customStyle="1" w:styleId="CommentTextChar">
    <w:name w:val="Comment Text Char"/>
    <w:basedOn w:val="DefaultParagraphFont"/>
    <w:link w:val="CommentText"/>
    <w:uiPriority w:val="99"/>
    <w:semiHidden/>
    <w:rsid w:val="0084318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43186"/>
    <w:rPr>
      <w:b/>
      <w:bCs/>
    </w:rPr>
  </w:style>
  <w:style w:type="character" w:customStyle="1" w:styleId="CommentSubjectChar">
    <w:name w:val="Comment Subject Char"/>
    <w:basedOn w:val="CommentTextChar"/>
    <w:link w:val="CommentSubject"/>
    <w:uiPriority w:val="99"/>
    <w:semiHidden/>
    <w:rsid w:val="00843186"/>
    <w:rPr>
      <w:rFonts w:ascii="Courier" w:eastAsia="Times New Roman" w:hAnsi="Courier" w:cs="Times New Roman"/>
      <w:b/>
      <w:bCs/>
      <w:snapToGrid w:val="0"/>
      <w:sz w:val="20"/>
      <w:szCs w:val="20"/>
    </w:rPr>
  </w:style>
  <w:style w:type="paragraph" w:styleId="Header">
    <w:name w:val="header"/>
    <w:basedOn w:val="Normal"/>
    <w:link w:val="HeaderChar"/>
    <w:uiPriority w:val="99"/>
    <w:unhideWhenUsed/>
    <w:rsid w:val="00082948"/>
    <w:pPr>
      <w:tabs>
        <w:tab w:val="center" w:pos="4680"/>
        <w:tab w:val="right" w:pos="9360"/>
      </w:tabs>
    </w:pPr>
  </w:style>
  <w:style w:type="character" w:customStyle="1" w:styleId="HeaderChar">
    <w:name w:val="Header Char"/>
    <w:basedOn w:val="DefaultParagraphFont"/>
    <w:link w:val="Header"/>
    <w:uiPriority w:val="99"/>
    <w:rsid w:val="00082948"/>
    <w:rPr>
      <w:rFonts w:ascii="Courier" w:eastAsia="Times New Roman" w:hAnsi="Courier" w:cs="Times New Roman"/>
      <w:snapToGrid w:val="0"/>
      <w:szCs w:val="20"/>
    </w:rPr>
  </w:style>
  <w:style w:type="paragraph" w:styleId="Footer">
    <w:name w:val="footer"/>
    <w:basedOn w:val="Normal"/>
    <w:link w:val="FooterChar"/>
    <w:uiPriority w:val="99"/>
    <w:unhideWhenUsed/>
    <w:rsid w:val="00082948"/>
    <w:pPr>
      <w:tabs>
        <w:tab w:val="center" w:pos="4680"/>
        <w:tab w:val="right" w:pos="9360"/>
      </w:tabs>
    </w:pPr>
  </w:style>
  <w:style w:type="character" w:customStyle="1" w:styleId="FooterChar">
    <w:name w:val="Footer Char"/>
    <w:basedOn w:val="DefaultParagraphFont"/>
    <w:link w:val="Footer"/>
    <w:uiPriority w:val="99"/>
    <w:rsid w:val="00082948"/>
    <w:rPr>
      <w:rFonts w:ascii="Courier" w:eastAsia="Times New Roman" w:hAnsi="Courier"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51"/>
    <w:pPr>
      <w:widowControl w:val="0"/>
    </w:pPr>
    <w:rPr>
      <w:rFonts w:ascii="Courier" w:eastAsia="Times New Roman" w:hAnsi="Courier" w:cs="Times New Roman"/>
      <w:snapToGrid w:val="0"/>
      <w:szCs w:val="20"/>
    </w:rPr>
  </w:style>
  <w:style w:type="paragraph" w:styleId="Heading1">
    <w:name w:val="heading 1"/>
    <w:basedOn w:val="Normal"/>
    <w:next w:val="Normal"/>
    <w:link w:val="Heading1Char"/>
    <w:uiPriority w:val="9"/>
    <w:qFormat/>
    <w:rsid w:val="00E57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051"/>
    <w:rPr>
      <w:rFonts w:ascii="Tahoma" w:hAnsi="Tahoma" w:cs="Tahoma"/>
      <w:sz w:val="16"/>
      <w:szCs w:val="16"/>
    </w:rPr>
  </w:style>
  <w:style w:type="character" w:customStyle="1" w:styleId="BalloonTextChar">
    <w:name w:val="Balloon Text Char"/>
    <w:basedOn w:val="DefaultParagraphFont"/>
    <w:link w:val="BalloonText"/>
    <w:uiPriority w:val="99"/>
    <w:semiHidden/>
    <w:rsid w:val="00637051"/>
    <w:rPr>
      <w:rFonts w:ascii="Tahoma" w:hAnsi="Tahoma" w:cs="Tahoma"/>
      <w:sz w:val="16"/>
      <w:szCs w:val="16"/>
    </w:rPr>
  </w:style>
  <w:style w:type="paragraph" w:styleId="ListParagraph">
    <w:name w:val="List Paragraph"/>
    <w:basedOn w:val="Normal"/>
    <w:uiPriority w:val="34"/>
    <w:qFormat/>
    <w:rsid w:val="00152204"/>
    <w:pPr>
      <w:ind w:left="720"/>
      <w:contextualSpacing/>
    </w:pPr>
  </w:style>
  <w:style w:type="table" w:customStyle="1" w:styleId="LightGrid1">
    <w:name w:val="Light Grid1"/>
    <w:basedOn w:val="TableNormal"/>
    <w:uiPriority w:val="62"/>
    <w:rsid w:val="00616112"/>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E579BF"/>
    <w:rPr>
      <w:rFonts w:asciiTheme="majorHAnsi" w:eastAsiaTheme="majorEastAsia" w:hAnsiTheme="majorHAnsi" w:cstheme="majorBidi"/>
      <w:b/>
      <w:bCs/>
      <w:snapToGrid w:val="0"/>
      <w:color w:val="365F91" w:themeColor="accent1" w:themeShade="BF"/>
      <w:sz w:val="28"/>
      <w:szCs w:val="28"/>
    </w:rPr>
  </w:style>
  <w:style w:type="character" w:styleId="CommentReference">
    <w:name w:val="annotation reference"/>
    <w:basedOn w:val="DefaultParagraphFont"/>
    <w:uiPriority w:val="99"/>
    <w:semiHidden/>
    <w:unhideWhenUsed/>
    <w:rsid w:val="00843186"/>
    <w:rPr>
      <w:sz w:val="16"/>
      <w:szCs w:val="16"/>
    </w:rPr>
  </w:style>
  <w:style w:type="paragraph" w:styleId="CommentText">
    <w:name w:val="annotation text"/>
    <w:basedOn w:val="Normal"/>
    <w:link w:val="CommentTextChar"/>
    <w:uiPriority w:val="99"/>
    <w:semiHidden/>
    <w:unhideWhenUsed/>
    <w:rsid w:val="00843186"/>
    <w:rPr>
      <w:sz w:val="20"/>
    </w:rPr>
  </w:style>
  <w:style w:type="character" w:customStyle="1" w:styleId="CommentTextChar">
    <w:name w:val="Comment Text Char"/>
    <w:basedOn w:val="DefaultParagraphFont"/>
    <w:link w:val="CommentText"/>
    <w:uiPriority w:val="99"/>
    <w:semiHidden/>
    <w:rsid w:val="0084318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43186"/>
    <w:rPr>
      <w:b/>
      <w:bCs/>
    </w:rPr>
  </w:style>
  <w:style w:type="character" w:customStyle="1" w:styleId="CommentSubjectChar">
    <w:name w:val="Comment Subject Char"/>
    <w:basedOn w:val="CommentTextChar"/>
    <w:link w:val="CommentSubject"/>
    <w:uiPriority w:val="99"/>
    <w:semiHidden/>
    <w:rsid w:val="00843186"/>
    <w:rPr>
      <w:rFonts w:ascii="Courier" w:eastAsia="Times New Roman" w:hAnsi="Courier" w:cs="Times New Roman"/>
      <w:b/>
      <w:bCs/>
      <w:snapToGrid w:val="0"/>
      <w:sz w:val="20"/>
      <w:szCs w:val="20"/>
    </w:rPr>
  </w:style>
  <w:style w:type="paragraph" w:styleId="Header">
    <w:name w:val="header"/>
    <w:basedOn w:val="Normal"/>
    <w:link w:val="HeaderChar"/>
    <w:uiPriority w:val="99"/>
    <w:unhideWhenUsed/>
    <w:rsid w:val="00082948"/>
    <w:pPr>
      <w:tabs>
        <w:tab w:val="center" w:pos="4680"/>
        <w:tab w:val="right" w:pos="9360"/>
      </w:tabs>
    </w:pPr>
  </w:style>
  <w:style w:type="character" w:customStyle="1" w:styleId="HeaderChar">
    <w:name w:val="Header Char"/>
    <w:basedOn w:val="DefaultParagraphFont"/>
    <w:link w:val="Header"/>
    <w:uiPriority w:val="99"/>
    <w:rsid w:val="00082948"/>
    <w:rPr>
      <w:rFonts w:ascii="Courier" w:eastAsia="Times New Roman" w:hAnsi="Courier" w:cs="Times New Roman"/>
      <w:snapToGrid w:val="0"/>
      <w:szCs w:val="20"/>
    </w:rPr>
  </w:style>
  <w:style w:type="paragraph" w:styleId="Footer">
    <w:name w:val="footer"/>
    <w:basedOn w:val="Normal"/>
    <w:link w:val="FooterChar"/>
    <w:uiPriority w:val="99"/>
    <w:unhideWhenUsed/>
    <w:rsid w:val="00082948"/>
    <w:pPr>
      <w:tabs>
        <w:tab w:val="center" w:pos="4680"/>
        <w:tab w:val="right" w:pos="9360"/>
      </w:tabs>
    </w:pPr>
  </w:style>
  <w:style w:type="character" w:customStyle="1" w:styleId="FooterChar">
    <w:name w:val="Footer Char"/>
    <w:basedOn w:val="DefaultParagraphFont"/>
    <w:link w:val="Footer"/>
    <w:uiPriority w:val="99"/>
    <w:rsid w:val="00082948"/>
    <w:rPr>
      <w:rFonts w:ascii="Courier" w:eastAsia="Times New Roman" w:hAnsi="Courier"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Karmazyn</dc:creator>
  <cp:lastModifiedBy>Windows User</cp:lastModifiedBy>
  <cp:revision>2</cp:revision>
  <dcterms:created xsi:type="dcterms:W3CDTF">2018-06-06T21:18:00Z</dcterms:created>
  <dcterms:modified xsi:type="dcterms:W3CDTF">2018-06-06T21:18:00Z</dcterms:modified>
</cp:coreProperties>
</file>